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103 骨科创伤关节置换脊柱及运动系统疾病康复模板库</w:t>
      </w:r>
    </w:p>
    <w:p>
      <w:pPr>
        <w:pStyle w:val="Subtitle"/>
      </w:pPr>
      <w:r>
        <w:t>V1.0  第三级规则库</w:t>
      </w:r>
    </w:p>
    <w:p>
      <w:r>
        <w:t>创建与核验基准  2026年10月31日</w:t>
      </w:r>
    </w:p>
    <w:p>
      <w:r>
        <w:t>按实际修复结构和医师许可管理骨科活动及负重。正文提供临床资料契约、专业规则、可填充模板、完整虚构病例与质量控制。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专病使用边界与专业深度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专病场景与完整文书链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完整虚构病例与书写演示</w:t>
        </w:r>
      </w:hyperlink>
      <w:r>
        <w:tab/>
        <w:t>26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输出格式与真实性限制</w:t>
        </w:r>
      </w:hyperlink>
      <w:r>
        <w:tab/>
        <w:t>26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常见错误与最终质控清单</w:t>
        </w:r>
      </w:hyperlink>
      <w:r>
        <w:tab/>
        <w:t>27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模块协同关系</w:t>
        </w:r>
      </w:hyperlink>
      <w:r>
        <w:tab/>
        <w:t>27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指南与规范核验</w:t>
        </w:r>
      </w:hyperlink>
      <w:r>
        <w:tab/>
        <w:t>27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版本更新与使用维护</w:t>
        </w:r>
      </w:hyperlink>
      <w:r>
        <w:tab/>
        <w:t>29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功能定位：按实际修复结构和医师许可管理骨科活动及负重。本模块面向中国医院康复医师及具备权限的相关专业人员，作为医师审核前的规则与文书草稿库。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专病使用边界与专业深度</w:t>
      </w:r>
      <w:bookmarkEnd w:id="2"/>
    </w:p>
    <w:p>
      <w:r>
        <w:t>先确定原发疾病与康复阶段，再按下列独立场景核对病理机制、实际检查、ICF、目标与限制。每一场景均给出首次、日常、三级查房、中期、调整、异常、出院评定、出院记录及随访模板；必须填入本例真实资料。多个场景可联合，但不重复下达矛盾方案。</w:t>
      </w:r>
    </w:p>
    <w:p>
      <w:r>
        <w:t>评定与治疗要适用于该患者，未经评估的典型表现不是患者事实。专业治疗列为方向，不构成真实执行命令；不适用的PT、OT、ST或设备不加入。</w:t>
      </w:r>
    </w:p>
    <w:p>
      <w:bookmarkStart w:id="3" w:name="sec3"/>
      <w:pPr>
        <w:pStyle w:val="Heading1"/>
      </w:pPr>
      <w:r>
        <w:t>专病场景与完整文书链</w:t>
      </w:r>
      <w:bookmarkEnd w:id="3"/>
    </w:p>
    <w:p>
      <w:pPr>
        <w:pStyle w:val="Heading2"/>
      </w:pPr>
      <w:r>
        <w:t>01 骨折保守与内固定术后</w:t>
      </w:r>
    </w:p>
    <w:p>
      <w:r>
        <w:t>覆盖场景：四肢骨折、股骨颈和转子间、骨盆髋臼、胫骨平台、上肢骨折。</w:t>
      </w:r>
    </w:p>
    <w:p>
      <w:pPr>
        <w:pStyle w:val="Heading3"/>
      </w:pPr>
      <w:r>
        <w:t>疾病特点 机制与阶段</w:t>
      </w:r>
    </w:p>
    <w:p>
      <w:r>
        <w:t>骨与关节面、固定、骨质及软组织状态决定保护；疼痛减轻和骨痂并不能证明允许负重。</w:t>
      </w:r>
    </w:p>
    <w:p>
      <w:r>
        <w:t>适用阶段和必需病史：记录每个injury_id、侧别骨段、保守或实际术式、固定、伤口、影像、神经血运、活动和负重原医嘱。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分侧肌力、允许范围ROM、肿胀疼痛、转移与步行辅助；骨盆髋臼和胫骨平台需核关节面限制，上肢核推撑承重。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保护结构同时减少卧床后失能，将坐起、转移、如厕与许可对应，不由术后日建立固定升级日程。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PT在许可内进行未受限关节、肌群和转移；OT穿衣如厕及器具；老年髋折加106；无语言吞咽问题不加ST。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严查固定、软组织和DVT风险；部分负重比例只有原医嘱明确才记，患者自行走路不是授权。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病例特点：【骨折保守与内固定术后的真实病程与阶段】。</w:t>
      </w:r>
    </w:p>
    <w:p>
      <w:pPr>
        <w:pStyle w:val="Code"/>
      </w:pPr>
      <w:r>
        <w:t>疾病诊断及依据：【原始报告与临床判断】；主要功能障碍：【分侧肌力、允许范围ROM、肿胀疼痛、转移与步行辅助所对应的实际结果】。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骨折保守与内固定术后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骨折保守与内固定术后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骨折保守与内固定术后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骨折保守与内固定术后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骨折保守与内固定术后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本场景功能与活动：【骨折保守与内固定术后相关的实测任务及助力器具】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诊疗经过：【骨折保守与内固定术后疾病处理、功能基线、实际治疗、异常事件与复评】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长期衔接重点：出院交接仍在的固定支具、实际负重、器具、照护和复查条件，返岗运动另需专科确认。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02 髋与膝及其他关节置换</w:t>
      </w:r>
    </w:p>
    <w:p>
      <w:r>
        <w:t>覆盖场景：THA、TKA、其他置换。</w:t>
      </w:r>
    </w:p>
    <w:p>
      <w:pPr>
        <w:pStyle w:val="Heading3"/>
      </w:pPr>
      <w:r>
        <w:t>疾病特点 机制与阶段</w:t>
      </w:r>
    </w:p>
    <w:p>
      <w:r>
        <w:t>入路、软组织修复、关节稳定性和合并病影响活动，不能将所有置换统一套髋屈曲禁忌。</w:t>
      </w:r>
    </w:p>
    <w:p>
      <w:r>
        <w:t>适用阶段和必需病史：核实际关节侧别、初次或翻修、入路、修复及外科许可，疼痛切口、神经血运和VTE等风险。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髋或膝主动被动ROM按许可实测，相关肌群力量、伸膝控制、转移和器具步行及ADL；不估计角度。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THA重在安全转移与步态，TKA结合伸膝控制及实际活动受限，具体目标由真实基线决定。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PT许可内ROM、力量及步态；OT穿衣、如厕和低椅等环境适配；其他置换按实际关节任务设计；ST仅有独立指征。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不同入路和翻修保护要求分别保存；不凭术名授权完全负重，不为追求角度暴力训练。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病例特点：【髋与膝及其他关节置换的真实病程与阶段】。</w:t>
      </w:r>
    </w:p>
    <w:p>
      <w:pPr>
        <w:pStyle w:val="Code"/>
      </w:pPr>
      <w:r>
        <w:t>疾病诊断及依据：【原始报告与临床判断】；主要功能障碍：【髋或膝主动被动ROM按许可实测，相关肌群力量、伸膝控制、转移和器具步行及ADL所对应的实际结果】。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髋与膝及其他关节置换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髋与膝及其他关节置换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髋与膝及其他关节置换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髋与膝及其他关节置换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髋与膝及其他关节置换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本场景功能与活动：【髋与膝及其他关节置换相关的实测任务及助力器具】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诊疗经过：【髋与膝及其他关节置换疾病处理、功能基线、实际治疗、异常事件与复评】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长期衔接重点：出院记录实际可行任务、现行保护及辅具、皮肤切口和外科复查；安装假体不等功能正常。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03 韧带 半月板与软骨相关术后</w:t>
      </w:r>
    </w:p>
    <w:p>
      <w:r>
        <w:t>覆盖场景：ACL及其他韧带重建、半月板缝合或切除、运动损伤。</w:t>
      </w:r>
    </w:p>
    <w:p>
      <w:pPr>
        <w:pStyle w:val="Heading3"/>
      </w:pPr>
      <w:r>
        <w:t>疾病特点 机制与阶段</w:t>
      </w:r>
    </w:p>
    <w:p>
      <w:r>
        <w:t>移植物、半月板和软骨修复的保护结构不同，合并处理可能改变最初康复限制。</w:t>
      </w:r>
    </w:p>
    <w:p>
      <w:r>
        <w:t>适用阶段和必需病史：核真实手术内容、移植物或修复结构、支具锁定和范围、活动负重限制，不能仅凭关节镜三字制定方案。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允许范围ROM、肿胀、肌力和控制、步态；返运动测试须实际完成及适用规则，不由月份许可。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将关节保护、步态与力量控制逐步连接到工作运动任务，目标不预设统一角度或月份。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PT经许可活动和肌力控制；OT处理通勤、工作和日常活动；运动专项仅在许可和评定支持后，ST无指征不加入。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半月板缝合和切除不混用；合并软骨操作分别核，跑跳变向不是常规自动进阶。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病例特点：【韧带 半月板与软骨相关术后的真实病程与阶段】。</w:t>
      </w:r>
    </w:p>
    <w:p>
      <w:pPr>
        <w:pStyle w:val="Code"/>
      </w:pPr>
      <w:r>
        <w:t>疾病诊断及依据：【原始报告与临床判断】；主要功能障碍：【允许范围ROM、肿胀、肌力和控制、步态所对应的实际结果】。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患者【当日症状和实际任务变化】。今日查体【与韧带 半月板与软骨相关术后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今日随【真实姓名】主治医师查房，患者【当日症状及功能】。今日查体【韧带 半月板与软骨相关术后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今日随【真实姓名】副主任医师查房，患者【当日症状及功能】。今日查体【韧带 半月板与软骨相关术后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今日随【真实姓名】主任医师查房，患者【当日症状及功能】。今日查体【韧带 半月板与软骨相关术后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复评提示【韧带 半月板与软骨相关术后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本场景功能与活动：【韧带 半月板与软骨相关术后相关的实测任务及助力器具】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诊疗经过：【韧带 半月板与软骨相关术后疾病处理、功能基线、实际治疗、异常事件与复评】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长期衔接重点：复查结构与功能并核外科和康复许可；返运动与日常步行授权独立。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04 肌腱 肩袖与手外伤</w:t>
      </w:r>
    </w:p>
    <w:p>
      <w:r>
        <w:t>覆盖场景：屈伸肌腱、跟腱、肩袖、手部复合损伤。</w:t>
      </w:r>
    </w:p>
    <w:p>
      <w:pPr>
        <w:pStyle w:val="Heading3"/>
      </w:pPr>
      <w:r>
        <w:t>疾病特点 机制与阶段</w:t>
      </w:r>
    </w:p>
    <w:p>
      <w:r>
        <w:t>修复部位、缝合强度及神经血管软组织共损决定主动被动活动边界。</w:t>
      </w:r>
    </w:p>
    <w:p>
      <w:r>
        <w:t>适用阶段和必需病史：核实际修复肌腱、侧别、日期、保护位、支具、主动被动方案和合并血管神经皮瓣，未见手术记录先核。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仅在许可内测ROM、肌力与功能；肩袖不强行早期抗阻，手部观察肌腱滑动和感觉但不突破保护。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兼顾防粘连和修复保护，把可允许动作连接抓握、穿衣及生活任务，不能为了功能目标牺牲结构。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PT和手治疗按个体协议进行；OT实际手任务和辅具，跟腱处理步态须负重许可；ST无指征不加入。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疼痛急增、弹响或失去原动作、血运或皮瓣变化及时06；骨折愈合不解除软组织限制。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病例特点：【肌腱 肩袖与手外伤的真实病程与阶段】。</w:t>
      </w:r>
    </w:p>
    <w:p>
      <w:pPr>
        <w:pStyle w:val="Code"/>
      </w:pPr>
      <w:r>
        <w:t>疾病诊断及依据：【原始报告与临床判断】；主要功能障碍：【仅在许可内测ROM、肌力与功能所对应的实际结果】。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患者【当日症状和实际任务变化】。今日查体【与肌腱 肩袖与手外伤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今日随【真实姓名】主治医师查房，患者【当日症状及功能】。今日查体【肌腱 肩袖与手外伤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今日随【真实姓名】副主任医师查房，患者【当日症状及功能】。今日查体【肌腱 肩袖与手外伤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今日随【真实姓名】主任医师查房，患者【当日症状及功能】。今日查体【肌腱 肩袖与手外伤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复评提示【肌腱 肩袖与手外伤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本场景功能与活动：【肌腱 肩袖与手外伤相关的实测任务及助力器具】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诊疗经过：【肌腱 肩袖与手外伤疾病处理、功能基线、实际治疗、异常事件与复评】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长期衔接重点：家庭演练保护及可做动作，支具调整、去除和返工需真实医师方案。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05 脊柱减压 融合及退变</w:t>
      </w:r>
    </w:p>
    <w:p>
      <w:r>
        <w:t>覆盖场景：颈腰退变、减压、融合和脊柱术后。</w:t>
      </w:r>
    </w:p>
    <w:p>
      <w:pPr>
        <w:pStyle w:val="Heading3"/>
      </w:pPr>
      <w:r>
        <w:t>疾病特点 机制与阶段</w:t>
      </w:r>
    </w:p>
    <w:p>
      <w:r>
        <w:t>神经恢复、融合结构与肌肉控制不同步；内固定在位不等融合完成。</w:t>
      </w:r>
    </w:p>
    <w:p>
      <w:r>
        <w:t>适用阶段和必需病史：核节段、减压或融合、支具、切口、脊髓神经实查、大小便和外科活动许可。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实际力量感觉反射、躯干控制、翻身坐站和步行；疑SCI联合102，慢性腰痛先鉴别红旗。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在结构许可内恢复移动和自理，长期考虑工作姿势和参与，不统一要求长期卧床或立即自由下床。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PT许可内转移、步态和适当控制；OT居家工作任务与辅具；颈部术后有吞咽或发声问题加104而非默认ST已治疗。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新无力、会阴感觉或排泄变化、切口异常优先临床评估；核心抗阻和牵引不得脱离术者许可。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病例特点：【脊柱减压 融合及退变的真实病程与阶段】。</w:t>
      </w:r>
    </w:p>
    <w:p>
      <w:pPr>
        <w:pStyle w:val="Code"/>
      </w:pPr>
      <w:r>
        <w:t>疾病诊断及依据：【原始报告与临床判断】；主要功能障碍：【实际力量感觉反射、躯干控制、翻身坐站和步行所对应的实际结果】。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患者【当日症状和实际任务变化】。今日查体【与脊柱减压 融合及退变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今日随【真实姓名】主治医师查房，患者【当日症状及功能】。今日查体【脊柱减压 融合及退变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今日随【真实姓名】副主任医师查房，患者【当日症状及功能】。今日查体【脊柱减压 融合及退变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今日随【真实姓名】主任医师查房，患者【当日症状及功能】。今日查体【脊柱减压 融合及退变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复评提示【脊柱减压 融合及退变相关目标的真实状态】，对照实际执行【剂量和中断】，考虑【本场景具体机制或可逆因素】。经【真实确认者】决定【调整及生效时间】，后续【监测及复评】；未确认的专业建议保持待审核状态。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本场景功能与活动：【脊柱减压 融合及退变相关的实测任务及助力器具】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诊疗经过：【脊柱减压 融合及退变疾病处理、功能基线、实际治疗、异常事件与复评】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长期衔接重点：交接支具实际状态和活动要求、症状警戒与外科复查，返工需岗位负荷核对。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06 挛缩 肩周疼痛和慢性骨关节病</w:t>
      </w:r>
    </w:p>
    <w:p>
      <w:r>
        <w:t>覆盖场景：关节挛缩、肩周疼痛、骨关节病、非手术运动系统病。</w:t>
      </w:r>
    </w:p>
    <w:p>
      <w:pPr>
        <w:pStyle w:val="Heading3"/>
      </w:pPr>
      <w:r>
        <w:t>疾病特点 机制与阶段</w:t>
      </w:r>
    </w:p>
    <w:p>
      <w:r>
        <w:t>疼痛抑制、软组织短缩、退变与活动回避共同影响功能，活动受限不等于固定挛缩。</w:t>
      </w:r>
    </w:p>
    <w:p>
      <w:r>
        <w:t>适用阶段和必需病史：采症状负荷关系、红旗、创伤手术史、治疗经过及工作家居任务。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主动被动ROM和终末感、力量、疼痛与任务表现；必要检查独立分析，不以影像退变程度解释全部症状。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围绕真实生活任务改善活动耐力、自我管理和参与，量化需真实基线。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PT个体活动力量和运动控制；OT节能、任务改造和环境；疼痛复杂者加108，物理因子为经评估的辅助而非模板必选。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骨脆性、关节不稳、炎症急性加重和神经血运风险需先排查；不对所有挛缩强拉。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病例特点：【挛缩 肩周疼痛和慢性骨关节病的真实病程与阶段】。</w:t>
      </w:r>
    </w:p>
    <w:p>
      <w:pPr>
        <w:pStyle w:val="Code"/>
      </w:pPr>
      <w:r>
        <w:t>疾病诊断及依据：【原始报告与临床判断】；主要功能障碍：【主动被动ROM和终末感、力量、疼痛与任务表现所对应的实际结果】。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患者【当日症状和实际任务变化】。今日查体【与挛缩 肩周疼痛和慢性骨关节病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今日随【真实姓名】主治医师查房，患者【当日症状及功能】。今日查体【挛缩 肩周疼痛和慢性骨关节病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今日随【真实姓名】副主任医师查房，患者【当日症状及功能】。今日查体【挛缩 肩周疼痛和慢性骨关节病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今日随【真实姓名】主任医师查房，患者【当日症状及功能】。今日查体【挛缩 肩周疼痛和慢性骨关节病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复评提示【挛缩 肩周疼痛和慢性骨关节病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本场景功能与活动：【挛缩 肩周疼痛和慢性骨关节病相关的实测任务及助力器具】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诊疗经过：【挛缩 肩周疼痛和慢性骨关节病疾病处理、功能基线、实际治疗、异常事件与复评】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长期衔接重点：长期按症状与功能复评，家庭训练限于已教学掌握内容；新红旗及时就诊。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bookmarkStart w:id="4" w:name="sec4"/>
      <w:pPr>
        <w:pStyle w:val="Heading1"/>
      </w:pPr>
      <w:r>
        <w:t>完整虚构病例与书写演示</w:t>
      </w:r>
      <w:bookmarkEnd w:id="4"/>
    </w:p>
    <w:p>
      <w:r>
        <w:t>本节资料全部虚构，仅用于教学和规则测试，禁止并入真实患者记录。</w:t>
      </w:r>
    </w:p>
    <w:p>
      <w:r>
        <w:t>虚构患者SIM103，住院SIM103-E01，女，76岁。原发疾病为左股骨转子间骨折内固定术后，仅在本模拟场景有效。</w:t>
      </w:r>
    </w:p>
    <w:p>
      <w:r>
        <w:t>病史与实查：10月15日受伤，16日内固定，20日康复入院。30日切口无新渗液为当日观察，左膝主动屈曲实测60°；影像有骨痂描述，现行负重许可尚未取得。</w:t>
      </w:r>
    </w:p>
    <w:p>
      <w:r>
        <w:t>处方与许可及目标：先核术者许可并提高床上活动及自理，长期回家；不能因有骨痂或疼痛较轻授予完全负重。</w:t>
      </w:r>
    </w:p>
    <w:p>
      <w:r>
        <w:t>实际执行与反应：PT于10月30日15:00至15:15在已确认床上范围内进行非负重任务，有效8分钟；未做站立和步行，不写已下地。</w:t>
      </w:r>
    </w:p>
    <w:p>
      <w:r>
        <w:t>ICF与出院：结构修复与活动能力分离，床椅和如厕受限，女儿意愿支持但照护操作及家居未核。出院仍为拟定，需复核当时医学稳定性、实际功能、照护和环境。随访以实际临床确认的日期或条件为准，本例尚未预约。</w:t>
      </w:r>
    </w:p>
    <w:p>
      <w:r>
        <w:t>疾病、功能和治疗三条证据线分别核对；未测评分不填，未执行治疗不补，未明确许可不升级。</w:t>
      </w:r>
    </w:p>
    <w:p>
      <w:r>
        <w:t>2026年10月31日 09:00 康复日常病程记录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左股骨转子间骨折内固定术后，当前实际功能及治疗以10月30日评定和执行来源为依据。PT于10月30日15:00至15:15在已确认床上范围内进行非负重任务，有效8分钟；未做站立和步行，不写已下地。先核术者许可并提高床上活动及自理，长期回家；不能因有骨痂或疼痛较轻授予完全负重。后续需完成相关功能复评、照护与环境核对；当前无新量表，不填写评分提高或目标已达成。</w:t>
      </w:r>
    </w:p>
    <w:p>
      <w:pPr>
        <w:pStyle w:val="Code"/>
      </w:pPr>
      <w:r>
        <w:t>```</w:t>
      </w:r>
    </w:p>
    <w:p>
      <w:bookmarkStart w:id="5" w:name="sec5"/>
      <w:pPr>
        <w:pStyle w:val="Heading1"/>
      </w:pPr>
      <w:r>
        <w:t>输出格式与真实性限制</w:t>
      </w:r>
      <w:bookmarkEnd w:id="5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6" w:name="sec6"/>
      <w:pPr>
        <w:pStyle w:val="Heading1"/>
      </w:pPr>
      <w:r>
        <w:t>常见错误与最终质控清单</w:t>
      </w:r>
      <w:bookmarkEnd w:id="6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7" w:name="sec7"/>
      <w:pPr>
        <w:pStyle w:val="Heading1"/>
      </w:pPr>
      <w:r>
        <w:t>模块协同关系</w:t>
      </w:r>
      <w:bookmarkEnd w:id="7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8" w:name="sec8"/>
      <w:pPr>
        <w:pStyle w:val="Heading1"/>
      </w:pPr>
      <w:r>
        <w:t>指南与规范核验</w:t>
      </w:r>
      <w:bookmarkEnd w:id="8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R12 Management of Hip Fractures in Older Adults</w:t>
      </w:r>
    </w:p>
    <w:p>
      <w:r>
        <w:t>发布机构：AAOS。版本年份：2021-12-03。文件性质：国外临床指南。适用范围：老年髋部骨折 非所有骨折或软组织修复。</w:t>
      </w:r>
    </w:p>
    <w:p>
      <w:r>
        <w:t>核验日期：2026年10月31日。核验范围与限制：官方指南页及适用人群核实。</w:t>
      </w:r>
    </w:p>
    <w:p>
      <w:r>
        <w:t>与本库相关规则：群体建议不能转换为本患者已获负重许可；核实术者意见。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R20 WHO guideline for non surgical management of chronic primary low back pain in adults in primary and community care settings</w:t>
      </w:r>
    </w:p>
    <w:p>
      <w:r>
        <w:t>发布机构：WHO。版本年份：2023。文件性质：国际临床指南。适用范围：成人慢性原发性腰痛 基层与社区。</w:t>
      </w:r>
    </w:p>
    <w:p>
      <w:r>
        <w:t>核验日期：2026年10月31日。核验范围与限制：WHO官方出版页核实。</w:t>
      </w:r>
    </w:p>
    <w:p>
      <w:r>
        <w:t>与本库相关规则：先辨别特异性病因和红旗，不能外推到术后、肿瘤或急性神经恶化。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bookmarkStart w:id="9" w:name="sec9"/>
      <w:pPr>
        <w:pStyle w:val="Heading1"/>
      </w:pPr>
      <w:r>
        <w:t>版本更新与使用维护</w:t>
      </w:r>
      <w:bookmarkEnd w:id="9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103模块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wjw/gfxwj/201105/0fa3554447e84949aa129e88bb1cc7b6.shtml" TargetMode="External"/><Relationship Id="rId13" Type="http://schemas.openxmlformats.org/officeDocument/2006/relationships/hyperlink" Target="https://www.who.int/standards/classifications/international-classification-of-functioning-disability-and-health" TargetMode="External"/><Relationship Id="rId14" Type="http://schemas.openxmlformats.org/officeDocument/2006/relationships/hyperlink" Target="https://www.aaos.org/quality/quality-programs/hip-fractures-in-older-adults/" TargetMode="External"/><Relationship Id="rId15" Type="http://schemas.openxmlformats.org/officeDocument/2006/relationships/hyperlink" Target="https://www.who.int/publications/i/item/97892400817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103 骨科创伤关节置换脊柱及运动系统疾病康复模板库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