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700"/>
      </w:pPr>
      <w:r>
        <w:t>康复医学科AI病历书写系统</w:t>
      </w:r>
    </w:p>
    <w:p>
      <w:pPr>
        <w:pStyle w:val="Title"/>
      </w:pPr>
      <w:r>
        <w:t>106 老年衰弱慢性疾病肿瘤及营养康复模板库</w:t>
      </w:r>
    </w:p>
    <w:p>
      <w:pPr>
        <w:pStyle w:val="Subtitle"/>
      </w:pPr>
      <w:r>
        <w:t>V1.0  第三级规则库</w:t>
      </w:r>
    </w:p>
    <w:p>
      <w:r>
        <w:t>创建与核验基准  2026年10月31日</w:t>
      </w:r>
    </w:p>
    <w:p>
      <w:r>
        <w:t>在多病共存、衰弱、肿瘤治疗及营养限制下恢复生活功能。正文提供临床资料契约、专业规则、可填充模板、完整虚构病例与质量控制。</w:t>
      </w:r>
    </w:p>
    <w:p>
      <w:r>
        <w:t>使用范围  中国医院康复医学科及相关康复场景。用于医师审核前的医学文书辅助，实际评定、治疗许可、处方、执行、沟通及签名由有权限的专业人员完成。</w:t>
      </w:r>
    </w:p>
    <w:p>
      <w:r>
        <w:t>交付边界  本文件是Word规则库，未部署后台或接入EMR。文中模板变量与模拟资料必须和真实患者隔离；指南核验范围逐项标明。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点击条目可跳转。软件与字体会影响分页；在Word或WPS中右键目录并更新整个目录，可刷新当前页码，亦可使用标题导航。</w:t>
      </w:r>
    </w:p>
    <w:p>
      <w:pPr>
        <w:tabs>
          <w:tab w:pos="9184" w:val="right" w:leader="dot"/>
        </w:tabs>
        <w:spacing w:after="80" w:line="264" w:lineRule="auto"/>
      </w:pPr>
      <w:r>
        <w:fldChar w:fldCharType="begin"/>
        <w:instrText xml:space="preserve"> TOC \o "1-1" \h \z \u </w:instrText>
        <w:fldChar w:fldCharType="separate"/>
      </w:r>
      <w:hyperlink w:anchor="sec0">
        <w:r>
          <w:rPr>
            <w:color w:val="000000"/>
          </w:rPr>
          <w:t>模块定位与自动调用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1">
        <w:r>
          <w:rPr>
            <w:color w:val="000000"/>
          </w:rPr>
          <w:t>事实来源与状态契约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2">
        <w:r>
          <w:rPr>
            <w:color w:val="000000"/>
          </w:rPr>
          <w:t>专病使用边界与专业深度</w:t>
        </w:r>
      </w:hyperlink>
      <w:r>
        <w:tab/>
        <w:t>3</w:t>
      </w:r>
    </w:p>
    <w:p>
      <w:pPr>
        <w:tabs>
          <w:tab w:pos="9184" w:val="right" w:leader="dot"/>
        </w:tabs>
        <w:spacing w:after="80" w:line="264" w:lineRule="auto"/>
      </w:pPr>
      <w:hyperlink w:anchor="sec3">
        <w:r>
          <w:rPr>
            <w:color w:val="000000"/>
          </w:rPr>
          <w:t>专病场景与完整文书链</w:t>
        </w:r>
      </w:hyperlink>
      <w:r>
        <w:tab/>
        <w:t>4</w:t>
      </w:r>
    </w:p>
    <w:p>
      <w:pPr>
        <w:tabs>
          <w:tab w:pos="9184" w:val="right" w:leader="dot"/>
        </w:tabs>
        <w:spacing w:after="80" w:line="264" w:lineRule="auto"/>
      </w:pPr>
      <w:hyperlink w:anchor="sec4">
        <w:r>
          <w:rPr>
            <w:color w:val="000000"/>
          </w:rPr>
          <w:t>完整虚构病例与书写演示</w:t>
        </w:r>
      </w:hyperlink>
      <w:r>
        <w:tab/>
        <w:t>22</w:t>
      </w:r>
    </w:p>
    <w:p>
      <w:pPr>
        <w:tabs>
          <w:tab w:pos="9184" w:val="right" w:leader="dot"/>
        </w:tabs>
        <w:spacing w:after="80" w:line="264" w:lineRule="auto"/>
      </w:pPr>
      <w:hyperlink w:anchor="sec5">
        <w:r>
          <w:rPr>
            <w:color w:val="000000"/>
          </w:rPr>
          <w:t>输出格式与真实性限制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6">
        <w:r>
          <w:rPr>
            <w:color w:val="000000"/>
          </w:rPr>
          <w:t>常见错误与最终质控清单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7">
        <w:r>
          <w:rPr>
            <w:color w:val="000000"/>
          </w:rPr>
          <w:t>模块协同关系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8">
        <w:r>
          <w:rPr>
            <w:color w:val="000000"/>
          </w:rPr>
          <w:t>指南与规范核验</w:t>
        </w:r>
      </w:hyperlink>
      <w:r>
        <w:tab/>
        <w:t>23</w:t>
      </w:r>
    </w:p>
    <w:p>
      <w:pPr>
        <w:tabs>
          <w:tab w:pos="9184" w:val="right" w:leader="dot"/>
        </w:tabs>
        <w:spacing w:after="80" w:line="264" w:lineRule="auto"/>
      </w:pPr>
      <w:hyperlink w:anchor="sec9">
        <w:r>
          <w:rPr>
            <w:color w:val="000000"/>
          </w:rPr>
          <w:t>版本更新与使用维护</w:t>
        </w:r>
      </w:hyperlink>
      <w:r>
        <w:tab/>
        <w:t>25</w:t>
      </w:r>
      <w:r>
        <w:fldChar w:fldCharType="end"/>
      </w:r>
    </w:p>
    <w:p>
      <w:r>
        <w:br w:type="page"/>
      </w:r>
    </w:p>
    <w:p>
      <w:bookmarkStart w:id="0" w:name="sec0"/>
      <w:pPr>
        <w:pStyle w:val="Heading1"/>
      </w:pPr>
      <w:r>
        <w:t>模块定位与自动调用</w:t>
      </w:r>
      <w:bookmarkEnd w:id="0"/>
    </w:p>
    <w:p>
      <w:r>
        <w:t>功能定位：在多病共存、衰弱、肿瘤治疗及营养限制下恢复生活功能。本模块面向中国医院康复医师及具备权限的相关专业人员，作为医师审核前的规则与文书草稿库。</w:t>
      </w:r>
    </w:p>
    <w:p>
      <w:r>
        <w:t>适用场景：本模块题名对应的评定、病程、处方、执行或质控任务；不要求把所有检查和治疗强加给每位患者。由00识别任务、01约束、11建立病例状态后按需加载本模块，输出前强制调用10。</w:t>
      </w:r>
    </w:p>
    <w:p>
      <w:r>
        <w:t>必需患者资料：可靠患者与本次住院标识，文书时间，相关原发疾病和阶段，本次实际症状及查体，带日期的功能评定，现行活动和负重许可，相关处方及实际执行记录；上级意见、沟通、出院去向仅在实际发生时提供。资料不足按具体任务分为阻断、限结论和可省略。</w:t>
      </w:r>
    </w:p>
    <w:p>
      <w:bookmarkStart w:id="1" w:name="sec1"/>
      <w:pPr>
        <w:pStyle w:val="Heading1"/>
      </w:pPr>
      <w:r>
        <w:t>事实来源与状态契约</w:t>
      </w:r>
      <w:bookmarkEnd w:id="1"/>
    </w:p>
    <w:p>
      <w:r>
        <w:t>每条事实关联patient_id、encounter_id、事件ID、发生时间observed_at、记录时间recorded_at、结果可获得时间available_at、来源source_id、记录者和核验状态。床号不作为唯一身份。不同患者、不同住院与同次住院不同治疗事件分开；历史资料可引用并标明日期，不能成为今日结果。</w:t>
      </w:r>
    </w:p>
    <w:p>
      <w:r>
        <w:t>原发疾病、结构损伤、功能障碍、活动限制、参与受限、环境与照护、评定结果、治疗计划、实际治疗、客观变化分别表达。诊断状态分确诊、临床考虑、待排、风险和未知；未知不等于阴性。患者自述改善不等于客观评分提高，肌力改善不等于独立步行，影像修复不等于获得活动许可。</w:t>
      </w:r>
    </w:p>
    <w:p>
      <w:r>
        <w:t>医学建议、医师确认、正式处方、排程、开始、完成、暂停、取消和终止分别留痕。治疗师建议不能替代医师确认，医嘱不能替代执行记录。AI只能起草供审核文本，不能直接实施治疗、升级负重、调整饮食、下发医嘱、伪造沟通或代签。</w:t>
      </w:r>
    </w:p>
    <w:p>
      <w:bookmarkStart w:id="2" w:name="sec2"/>
      <w:pPr>
        <w:pStyle w:val="Heading1"/>
      </w:pPr>
      <w:r>
        <w:t>专病使用边界与专业深度</w:t>
      </w:r>
      <w:bookmarkEnd w:id="2"/>
    </w:p>
    <w:p>
      <w:r>
        <w:t>先确定原发疾病与康复阶段，再按下列独立场景核对病理机制、实际检查、ICF、目标与限制。每一场景均给出首次、日常、三级查房、中期、调整、异常、出院评定、出院记录及随访模板；必须填入本例真实资料。多个场景可联合，但不重复下达矛盾方案。</w:t>
      </w:r>
    </w:p>
    <w:p>
      <w:r>
        <w:t>评定与治疗要适用于该患者，未经评估的典型表现不是患者事实。专业治疗列为方向，不构成真实执行命令；不适用的PT、OT、ST或设备不加入。</w:t>
      </w:r>
    </w:p>
    <w:p>
      <w:bookmarkStart w:id="3" w:name="sec3"/>
      <w:pPr>
        <w:pStyle w:val="Heading1"/>
      </w:pPr>
      <w:r>
        <w:t>专病场景与完整文书链</w:t>
      </w:r>
      <w:bookmarkEnd w:id="3"/>
    </w:p>
    <w:p>
      <w:pPr>
        <w:pStyle w:val="Heading2"/>
      </w:pPr>
      <w:r>
        <w:t>01 老年衰弱 肌少症与多病共存</w:t>
      </w:r>
    </w:p>
    <w:p>
      <w:r>
        <w:t>覆盖场景：衰弱、肌少、失能、认知及慢病。</w:t>
      </w:r>
    </w:p>
    <w:p>
      <w:pPr>
        <w:pStyle w:val="Heading3"/>
      </w:pPr>
      <w:r>
        <w:t>疾病特点 机制与阶段</w:t>
      </w:r>
    </w:p>
    <w:p>
      <w:r>
        <w:t>储备降低、肌肉功能下降、共病和药物负担可能叠加；年龄本身不是诊断。</w:t>
      </w:r>
    </w:p>
    <w:p>
      <w:r>
        <w:t>适用阶段和必需病史：采病前和近期ADL、体重摄入、共病、用药、情绪认知、跌倒和照护；尊重患者目标与治疗负担。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衰弱和肌少症工具、版本、所需力量肌量或体能资料分别保存，缺变量不确诊；实际任务比笼统高龄更有意义。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围绕起立、转移、如厕与家庭参与，目标结合患者偏好、疲劳和资源，不强求全部独立。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PT个体力量平衡耐力；OT ADL和环境；营养师核摄入及需求；ST有吞咽指征时参与，认知和药物协同管理。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多重用药、直立低压、低血糖、骨脆性和感觉问题影响安全；不按成人统一强度加量。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病例特点：【老年衰弱 肌少症与多病共存的真实病程与阶段】。</w:t>
      </w:r>
    </w:p>
    <w:p>
      <w:pPr>
        <w:pStyle w:val="Code"/>
      </w:pPr>
      <w:r>
        <w:t>疾病诊断及依据：【原始报告与临床判断】；主要功能障碍：【衰弱和肌少症工具、版本、所需力量肌量或体能资料分别保存，缺变量不确诊所对应的实际结果】。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患者【当日症状和实际任务变化】。今日查体【与老年衰弱 肌少症与多病共存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今日随【真实姓名】主治医师查房，患者【当日症状及功能】。今日查体【老年衰弱 肌少症与多病共存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今日随【真实姓名】副主任医师查房，患者【当日症状及功能】。今日查体【老年衰弱 肌少症与多病共存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今日随【真实姓名】主任医师查房，患者【当日症状及功能】。今日查体【老年衰弱 肌少症与多病共存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复评提示【老年衰弱 肌少症与多病共存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本场景功能与活动：【老年衰弱 肌少症与多病共存相关的实测任务及助力器具】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诊疗经过：【老年衰弱 肌少症与多病共存疾病处理、功能基线、实际治疗、异常事件与复评】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长期衔接重点：明确照护能力和服务可及性，随访功能与可逆因素；医学稳定和环境安全分开。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02 跌倒 长期卧床与髋折后综合康复</w:t>
      </w:r>
    </w:p>
    <w:p>
      <w:r>
        <w:t>覆盖场景：反复跌倒、长期卧床、老年髋部骨折。</w:t>
      </w:r>
    </w:p>
    <w:p>
      <w:pPr>
        <w:pStyle w:val="Heading3"/>
      </w:pPr>
      <w:r>
        <w:t>疾病特点 机制与阶段</w:t>
      </w:r>
    </w:p>
    <w:p>
      <w:r>
        <w:t>个体、任务、药物和环境共同影响跌倒，卧床带来去适应与皮肤呼吸风险。</w:t>
      </w:r>
    </w:p>
    <w:p>
      <w:r>
        <w:t>适用阶段和必需病史：真实跌倒经过、视听、鞋和器具、夜间如厕、药物与家庭障碍；骨折患者核结构和负重许可。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综合风险与实际平衡转移，不用一分数取代判断；压伤和皮肤实查，必要时认知直立评估。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先恢复安全活动和照护，降低可改变风险，不因有跌倒风险就无限制卧床。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PT许可内平衡移动和力量；OT家居与如厕任务及辅具；护士照护与皮肤；吞咽问题才ST。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跌倒后先评损伤，不自动扶起或写无伤；髋折负重依据术者，不因老年早活动建议自动全负重。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病例特点：【跌倒 长期卧床与髋折后综合康复的真实病程与阶段】。</w:t>
      </w:r>
    </w:p>
    <w:p>
      <w:pPr>
        <w:pStyle w:val="Code"/>
      </w:pPr>
      <w:r>
        <w:t>疾病诊断及依据：【原始报告与临床判断】；主要功能障碍：【综合风险与实际平衡转移，不用一分数取代判断所对应的实际结果】。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患者【当日症状和实际任务变化】。今日查体【与跌倒 长期卧床与髋折后综合康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今日随【真实姓名】主治医师查房，患者【当日症状及功能】。今日查体【跌倒 长期卧床与髋折后综合康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今日随【真实姓名】副主任医师查房，患者【当日症状及功能】。今日查体【跌倒 长期卧床与髋折后综合康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今日随【真实姓名】主任医师查房，患者【当日症状及功能】。今日查体【跌倒 长期卧床与髋折后综合康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复评提示【跌倒 长期卧床与髋折后综合康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本场景功能与活动：【跌倒 长期卧床与髋折后综合康复相关的实测任务及助力器具】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诊疗经过：【跌倒 长期卧床与髋折后综合康复疾病处理、功能基线、实际治疗、异常事件与复评】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长期衔接重点：家庭防跌方案记录核实与实际完成，建议扶手不等已安装，照护者演练与复诊责任明确。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03 糖尿病 肥胖与慢病功能下降</w:t>
      </w:r>
    </w:p>
    <w:p>
      <w:r>
        <w:t>覆盖场景：慢病、糖尿病相关障碍、肥胖活动受限。</w:t>
      </w:r>
    </w:p>
    <w:p>
      <w:pPr>
        <w:pStyle w:val="Heading3"/>
      </w:pPr>
      <w:r>
        <w:t>疾病特点 机制与阶段</w:t>
      </w:r>
    </w:p>
    <w:p>
      <w:r>
        <w:t>代谢、感觉、心肺储备、关节负荷及心理环境共同影响活动，不能仅凭体重判断能力。</w:t>
      </w:r>
    </w:p>
    <w:p>
      <w:r>
        <w:t>适用阶段和必需病史：采血糖实际监测、药物进食、足部皮肤感觉、心肺和眼底等已有评估及疼痛，不补无并发症。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真实足部和神经实查、耐量、力量、转移ADL与任务负荷；不由BMI直接估强度。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以可持续参与和具体生活任务为目标，体重或代谢目标由相关团队确认。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PT个体活动和足部风险保护，OT任务节能与环境，营养和慢病团队协作；ST仅在独立指征下。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低血糖、足部破损或感觉缺失、心血管风险需个体核对；不自动写药物调整或禁食训练。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病例特点：【糖尿病 肥胖与慢病功能下降的真实病程与阶段】。</w:t>
      </w:r>
    </w:p>
    <w:p>
      <w:pPr>
        <w:pStyle w:val="Code"/>
      </w:pPr>
      <w:r>
        <w:t>疾病诊断及依据：【原始报告与临床判断】；主要功能障碍：【真实足部和神经实查、耐量、力量、转移ADL与任务负荷所对应的实际结果】。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患者【当日症状和实际任务变化】。今日查体【与糖尿病 肥胖与慢病功能下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今日随【真实姓名】主治医师查房，患者【当日症状及功能】。今日查体【糖尿病 肥胖与慢病功能下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今日随【真实姓名】副主任医师查房，患者【当日症状及功能】。今日查体【糖尿病 肥胖与慢病功能下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今日随【真实姓名】主任医师查房，患者【当日症状及功能】。今日查体【糖尿病 肥胖与慢病功能下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复评提示【糖尿病 肥胖与慢病功能下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本场景功能与活动：【糖尿病 肥胖与慢病功能下降相关的实测任务及助力器具】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诊疗经过：【糖尿病 肥胖与慢病功能下降疾病处理、功能基线、实际治疗、异常事件与复评】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长期衔接重点：交接足部检查、活动监测和真实饮食药物方案，记录家庭资源与长期参与。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04 肿瘤治疗后及姑息康复</w:t>
      </w:r>
    </w:p>
    <w:p>
      <w:r>
        <w:t>覆盖场景：癌后乏力、疼痛、神经病变、术后功能与姑息。</w:t>
      </w:r>
    </w:p>
    <w:p>
      <w:pPr>
        <w:pStyle w:val="Heading3"/>
      </w:pPr>
      <w:r>
        <w:t>疾病特点 机制与阶段</w:t>
      </w:r>
    </w:p>
    <w:p>
      <w:r>
        <w:t>肿瘤、治疗毒性、去适应、营养与情绪可能并存，目标可为恢复或舒适和照护。</w:t>
      </w:r>
    </w:p>
    <w:p>
      <w:r>
        <w:t>适用阶段和必需病史：核原病、治疗阶段、骨病灶和骨折风险、血象感染、心肺毒性、疼痛、切口及患者意愿。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任务ADL、疲劳疼痛、神经病变、关节与耐量；骨转移部位风险另核，不以肿瘤史推当前转移。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按实际预后和意愿确定活动、舒适、家庭角色或照护目标；不把姑息等同放弃功能。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PT避开未确认安全的骨病灶负荷；OT节能与重要作业；营养心理及姑息协作，头颈等有问题加ST，不机械全套。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骨转移、血细胞减少、感染或治疗毒性需相关团队确认，不能套统一血象终止数字。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病例特点：【肿瘤治疗后及姑息康复的真实病程与阶段】。</w:t>
      </w:r>
    </w:p>
    <w:p>
      <w:pPr>
        <w:pStyle w:val="Code"/>
      </w:pPr>
      <w:r>
        <w:t>疾病诊断及依据：【原始报告与临床判断】；主要功能障碍：【任务ADL、疲劳疼痛、神经病变、关节与耐量所对应的实际结果】。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肿瘤治疗后及姑息康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肿瘤治疗后及姑息康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肿瘤治疗后及姑息康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肿瘤治疗后及姑息康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肿瘤治疗后及姑息康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本场景功能与活动：【肿瘤治疗后及姑息康复相关的实测任务及助力器具】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诊疗经过：【肿瘤治疗后及姑息康复疾病处理、功能基线、实际治疗、异常事件与复评】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长期衔接重点：出院交接肿瘤治疗与康复衔接、剩余功能、照护及症状警戒，返岗需岗位及治疗限制评估。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pPr>
        <w:pStyle w:val="Heading2"/>
      </w:pPr>
      <w:r>
        <w:t>05 营养不良及进食相关功能下降</w:t>
      </w:r>
    </w:p>
    <w:p>
      <w:r>
        <w:t>覆盖场景：摄入不足、慢病营养、失能与照护。</w:t>
      </w:r>
    </w:p>
    <w:p>
      <w:pPr>
        <w:pStyle w:val="Heading3"/>
      </w:pPr>
      <w:r>
        <w:t>疾病特点 机制与阶段</w:t>
      </w:r>
    </w:p>
    <w:p>
      <w:r>
        <w:t>摄入、吸收、代谢及炎症可影响肌肉和训练耐受，单一营养化验不代表完整诊断。</w:t>
      </w:r>
    </w:p>
    <w:p>
      <w:r>
        <w:t>适用阶段和必需病史：采体重变化来源、进食量、胃肠症状、口腔吞咽、炎症及营养医嘱和实际摄入。</w:t>
      </w:r>
    </w:p>
    <w:p>
      <w:r>
        <w:t>康复适应性取决当时稳定性、获准活动和可评估或参与程度；未稳定者先处理疾病和风险，不机械开常规训练。</w:t>
      </w:r>
    </w:p>
    <w:p>
      <w:pPr>
        <w:pStyle w:val="Heading3"/>
      </w:pPr>
      <w:r>
        <w:t>专科检查与功能评定</w:t>
      </w:r>
    </w:p>
    <w:p>
      <w:r>
        <w:t>适用营养工具、实际身体测量与功能，吞咽许可另由104，白蛋白不单独确诊。</w:t>
      </w:r>
    </w:p>
    <w:p>
      <w:r>
        <w:t>工具需有具体版本、评定时间、人员、适用条件和实际结果；未完成保留原因，不能由病名填分。</w:t>
      </w:r>
    </w:p>
    <w:p>
      <w:pPr>
        <w:pStyle w:val="Heading3"/>
      </w:pPr>
      <w:r>
        <w:t>ICF问题与目标</w:t>
      </w:r>
    </w:p>
    <w:p>
      <w:r>
        <w:t>目标兼顾可行营养途径、活动耐受和生活参与，量化摄入由营养及医疗团队确认。</w:t>
      </w:r>
    </w:p>
    <w:p>
      <w:r>
        <w:t>身体结构与功能证据、任务及帮助、参与诉求、环境促进或障碍和个人背景分别保存。近期、中期、长期目标须有真实基线与期限；数值未经团队确认不补。</w:t>
      </w:r>
    </w:p>
    <w:p>
      <w:pPr>
        <w:pStyle w:val="Heading3"/>
      </w:pPr>
      <w:r>
        <w:t>治疗策略 活动许可与实际执行</w:t>
      </w:r>
    </w:p>
    <w:p>
      <w:r>
        <w:t>PT与OT活动节能和进食操作，ST仅在吞咽问题时评估，护士和营养师记录真实摄入执行。</w:t>
      </w:r>
    </w:p>
    <w:p>
      <w:r>
        <w:t>每项治疗先核具体部位活动、负重或进食许可，器具和保护要求均需来源。频次、时长和强度由真实个体处方确认；没有参数时只形成待审核建议。逐次记录实际内容、有效时长、负荷、执行者、反应和中止；不把上述策略写成已实施。</w:t>
      </w:r>
    </w:p>
    <w:p>
      <w:pPr>
        <w:pStyle w:val="Heading3"/>
      </w:pPr>
      <w:r>
        <w:t>禁忌 风险与并发症</w:t>
      </w:r>
    </w:p>
    <w:p>
      <w:r>
        <w:t>重度风险、脱水或再喂养疑点转临床评估，不由AI补热量蛋白或输注方案。</w:t>
      </w:r>
    </w:p>
    <w:p>
      <w:r>
        <w:t>风险、疑似并发症、确诊事件和明确阴性分开。异常时间、项目、症状、监测、临床判断、实际处置、后续变化与复训条件不可缺。</w:t>
      </w:r>
    </w:p>
    <w:p>
      <w:pPr>
        <w:pStyle w:val="Heading3"/>
      </w:pPr>
      <w:r>
        <w:t>首次病程模板</w:t>
      </w:r>
    </w:p>
    <w:p>
      <w:r>
        <w:t>【文书日期及时间】 首次病程记录</w:t>
      </w:r>
    </w:p>
    <w:p>
      <w:pPr>
        <w:pStyle w:val="Code"/>
      </w:pPr>
      <w:r>
        <w:t>```text</w:t>
      </w:r>
    </w:p>
    <w:p>
      <w:pPr>
        <w:pStyle w:val="Code"/>
      </w:pPr>
      <w:r>
        <w:t>病例特点：【营养不良及进食相关功能下降的真实病程与阶段】。</w:t>
      </w:r>
    </w:p>
    <w:p>
      <w:pPr>
        <w:pStyle w:val="Code"/>
      </w:pPr>
      <w:r>
        <w:t>疾病诊断及依据：【原始报告与临床判断】；主要功能障碍：【适用营养工具、实际身体测量与功能，吞咽许可另由104，白蛋白不单独确诊。所对应的实际结果】。</w:t>
      </w:r>
    </w:p>
    <w:p>
      <w:pPr>
        <w:pStyle w:val="Code"/>
      </w:pPr>
      <w:r>
        <w:t>ICF分析：【身体功能结构、活动参与及环境个人背景】。</w:t>
      </w:r>
    </w:p>
    <w:p>
      <w:pPr>
        <w:pStyle w:val="Code"/>
      </w:pPr>
      <w:r>
        <w:t>鉴别与康复适应性：【需鉴别问题、稳定性、当前许可及风险】。</w:t>
      </w:r>
    </w:p>
    <w:p>
      <w:pPr>
        <w:pStyle w:val="Code"/>
      </w:pPr>
      <w:r>
        <w:t>目标与计划：【基于真实任务基线的近期和长期目标、经医师确认的专业方案与复评】。</w:t>
      </w:r>
    </w:p>
    <w:p>
      <w:pPr>
        <w:pStyle w:val="Code"/>
      </w:pPr>
      <w:r>
        <w:t>```</w:t>
      </w:r>
    </w:p>
    <w:p>
      <w:pPr>
        <w:pStyle w:val="Heading3"/>
      </w:pPr>
      <w:r>
        <w:t>日常病程与三级查房模板</w:t>
      </w:r>
    </w:p>
    <w:p>
      <w:r>
        <w:t>【文书日期及时间】 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【当日症状和实际任务变化】。今日查体【与营养不良及进食相关功能下降相关的实查】，功能评定【日期、版本及结果】。当前【有效许可和实际治疗剂量】，反应【实际观察】。结合【本场景机制及风险的具体证据】，拟按【医师确认方案】复核【具体任务及目标】，不将未测结果写为改善。</w:t>
      </w:r>
    </w:p>
    <w:p>
      <w:pPr>
        <w:pStyle w:val="Code"/>
      </w:pPr>
      <w:r>
        <w:t>```</w:t>
      </w:r>
    </w:p>
    <w:p>
      <w:r>
        <w:t>【文书日期及时间】 主治医师查房记录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治医师查房，患者【当日症状及功能】。今日查体【营养不良及进食相关功能下降相关实查】，评定【实际日期及结果】。主治医师分析【针对当日实查、真实剂量、反应、近期安全及执行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副主任医师查房记录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副主任医师查房，患者【当日症状及功能】。今日查体【营养不良及进食相关功能下降相关实查】，评定【实际日期及结果】。副主任医师分析【针对本场景机制、功能定位与鉴别、未达成原因及治疗取舍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r>
        <w:t>【文书日期及时间】 主任医师查房记录</w:t>
      </w:r>
    </w:p>
    <w:p>
      <w:pPr>
        <w:pStyle w:val="Code"/>
      </w:pPr>
      <w:r>
        <w:t>```text</w:t>
      </w:r>
    </w:p>
    <w:p>
      <w:pPr>
        <w:pStyle w:val="Code"/>
      </w:pPr>
      <w:r>
        <w:t>今日随【真实姓名】主任医师查房，患者【当日症状及功能】。今日查体【营养不良及进食相关功能下降相关实查】，评定【实际日期及结果】。主任医师分析【针对复杂功能预后、长期参与、重大目标和出院路径的真实意见及依据】。目前【实际已执行治疗与医师确认计划】，继续观察【本例具体风险】，根据【真实复评项目】调整康复方案。</w:t>
      </w:r>
    </w:p>
    <w:p>
      <w:pPr>
        <w:pStyle w:val="Code"/>
      </w:pPr>
      <w:r>
        <w:t>```</w:t>
      </w:r>
    </w:p>
    <w:p>
      <w:pPr>
        <w:pStyle w:val="Heading3"/>
      </w:pPr>
      <w:r>
        <w:t>中期评定 方案调整及异常病程</w:t>
      </w:r>
    </w:p>
    <w:p>
      <w:r>
        <w:t>【文书日期及时间】 中期康复评定</w:t>
      </w:r>
    </w:p>
    <w:p>
      <w:pPr>
        <w:pStyle w:val="Code"/>
      </w:pPr>
      <w:r>
        <w:t>```text</w:t>
      </w:r>
    </w:p>
    <w:p>
      <w:pPr>
        <w:pStyle w:val="Code"/>
      </w:pPr>
      <w:r>
        <w:t>评定日期及人员：【资料】</w:t>
      </w:r>
    </w:p>
    <w:p>
      <w:pPr>
        <w:pStyle w:val="Code"/>
      </w:pPr>
      <w:r>
        <w:t>基线与当前：【本场景适用功能项目、同版本同条件成对结果】</w:t>
      </w:r>
    </w:p>
    <w:p>
      <w:pPr>
        <w:pStyle w:val="Code"/>
      </w:pPr>
      <w:r>
        <w:t>目标状态：【已达或未达的实际证据】</w:t>
      </w:r>
    </w:p>
    <w:p>
      <w:pPr>
        <w:pStyle w:val="Code"/>
      </w:pPr>
      <w:r>
        <w:t>实际执行：【逐次剂量、中止和依从资料】</w:t>
      </w:r>
    </w:p>
    <w:p>
      <w:pPr>
        <w:pStyle w:val="Code"/>
      </w:pPr>
      <w:r>
        <w:t>原因分析及调整：【病情、机制、负荷或环境因素；临床确认状态】</w:t>
      </w:r>
    </w:p>
    <w:p>
      <w:pPr>
        <w:pStyle w:val="Code"/>
      </w:pPr>
      <w:r>
        <w:t>```</w:t>
      </w:r>
    </w:p>
    <w:p>
      <w:r>
        <w:t>【文书日期及时间】 康复方案调整病程</w:t>
      </w:r>
    </w:p>
    <w:p>
      <w:pPr>
        <w:pStyle w:val="Code"/>
      </w:pPr>
      <w:r>
        <w:t>```text</w:t>
      </w:r>
    </w:p>
    <w:p>
      <w:pPr>
        <w:pStyle w:val="Code"/>
      </w:pPr>
      <w:r>
        <w:t>复评提示【营养不良及进食相关功能下降相关目标的真实状态】，对照实际执行【剂量和中断】，考虑【本场景具体机制或可逆因素】。经【真实确认者】决定【调整及生效时间】，后续【监测及复评】；未确认的专业建议保持待审核状态。</w:t>
      </w:r>
    </w:p>
    <w:p>
      <w:pPr>
        <w:pStyle w:val="Code"/>
      </w:pPr>
      <w:r>
        <w:t>```</w:t>
      </w:r>
    </w:p>
    <w:p>
      <w:r>
        <w:t>【文书日期及时间】 康复异常病程记录</w:t>
      </w:r>
    </w:p>
    <w:p>
      <w:pPr>
        <w:pStyle w:val="Code"/>
      </w:pPr>
      <w:r>
        <w:t>```text</w:t>
      </w:r>
    </w:p>
    <w:p>
      <w:pPr>
        <w:pStyle w:val="Code"/>
      </w:pPr>
      <w:r>
        <w:t>【事件时间】在【实际项目及负荷】时出现【实际症状】，监测【实测值或未测状态】。已【停止及真实处置和通知】，考虑【判断及确定度】，其后【时间化变化】；相关治疗【暂停或终止】，待【实际医师复评和许可】决定恢复。</w:t>
      </w:r>
    </w:p>
    <w:p>
      <w:pPr>
        <w:pStyle w:val="Code"/>
      </w:pPr>
      <w:r>
        <w:t>```</w:t>
      </w:r>
    </w:p>
    <w:p>
      <w:pPr>
        <w:pStyle w:val="Heading3"/>
      </w:pPr>
      <w:r>
        <w:t>出院评定 出院记录 医嘱与长期随访</w:t>
      </w:r>
    </w:p>
    <w:p>
      <w:r>
        <w:t>【文书日期及时间】 出院功能评定</w:t>
      </w:r>
    </w:p>
    <w:p>
      <w:pPr>
        <w:pStyle w:val="Code"/>
      </w:pPr>
      <w:r>
        <w:t>```text</w:t>
      </w:r>
    </w:p>
    <w:p>
      <w:pPr>
        <w:pStyle w:val="Code"/>
      </w:pPr>
      <w:r>
        <w:t>时间与评定者：【资料】</w:t>
      </w:r>
    </w:p>
    <w:p>
      <w:pPr>
        <w:pStyle w:val="Code"/>
      </w:pPr>
      <w:r>
        <w:t>本场景功能与活动：【营养不良及进食相关功能下降相关的实测任务及助力器具】</w:t>
      </w:r>
    </w:p>
    <w:p>
      <w:pPr>
        <w:pStyle w:val="Code"/>
      </w:pPr>
      <w:r>
        <w:t>量表比较：【版本与可比范围】</w:t>
      </w:r>
    </w:p>
    <w:p>
      <w:pPr>
        <w:pStyle w:val="Code"/>
      </w:pPr>
      <w:r>
        <w:t>剩余问题与安全：【实际限制】</w:t>
      </w:r>
    </w:p>
    <w:p>
      <w:pPr>
        <w:pStyle w:val="Code"/>
      </w:pPr>
      <w:r>
        <w:t>家庭及照护：【核实范围】</w:t>
      </w:r>
    </w:p>
    <w:p>
      <w:pPr>
        <w:pStyle w:val="Code"/>
      </w:pPr>
      <w:r>
        <w:t>院外目标：【真实约定】</w:t>
      </w:r>
    </w:p>
    <w:p>
      <w:pPr>
        <w:pStyle w:val="Code"/>
      </w:pPr>
      <w:r>
        <w:t>```</w:t>
      </w:r>
    </w:p>
    <w:p>
      <w:r>
        <w:t>【文书日期及时间】 出院记录</w:t>
      </w:r>
    </w:p>
    <w:p>
      <w:pPr>
        <w:pStyle w:val="Code"/>
      </w:pPr>
      <w:r>
        <w:t>```text</w:t>
      </w:r>
    </w:p>
    <w:p>
      <w:pPr>
        <w:pStyle w:val="Code"/>
      </w:pPr>
      <w:r>
        <w:t>入出院日期及诊断：【真实信息】</w:t>
      </w:r>
    </w:p>
    <w:p>
      <w:pPr>
        <w:pStyle w:val="Code"/>
      </w:pPr>
      <w:r>
        <w:t>诊疗经过：【营养不良及进食相关功能下降疾病处理、功能基线、实际治疗、异常事件与复评】</w:t>
      </w:r>
    </w:p>
    <w:p>
      <w:pPr>
        <w:pStyle w:val="Code"/>
      </w:pPr>
      <w:r>
        <w:t>出院情况：【疾病稳定性、实际任务能力、器具与照护需求】</w:t>
      </w:r>
    </w:p>
    <w:p>
      <w:pPr>
        <w:pStyle w:val="Code"/>
      </w:pPr>
      <w:r>
        <w:t>去向及院外方案：【真实决策、未决问题和交接责任】</w:t>
      </w:r>
    </w:p>
    <w:p>
      <w:pPr>
        <w:pStyle w:val="Code"/>
      </w:pPr>
      <w:r>
        <w:t>```</w:t>
      </w:r>
    </w:p>
    <w:p>
      <w:r>
        <w:t>【文书日期及时间】 出院医嘱与长期随访</w:t>
      </w:r>
    </w:p>
    <w:p>
      <w:pPr>
        <w:pStyle w:val="Code"/>
      </w:pPr>
      <w:r>
        <w:t>```text</w:t>
      </w:r>
    </w:p>
    <w:p>
      <w:pPr>
        <w:pStyle w:val="Code"/>
      </w:pPr>
      <w:r>
        <w:t>当前核定用药：【真实处方】</w:t>
      </w:r>
    </w:p>
    <w:p>
      <w:pPr>
        <w:pStyle w:val="Code"/>
      </w:pPr>
      <w:r>
        <w:t>活动负重 进食与器具：【现行有效许可】</w:t>
      </w:r>
    </w:p>
    <w:p>
      <w:pPr>
        <w:pStyle w:val="Code"/>
      </w:pPr>
      <w:r>
        <w:t>家庭训练与照护：【已教学并验证掌握的任务及参数】</w:t>
      </w:r>
    </w:p>
    <w:p>
      <w:pPr>
        <w:pStyle w:val="Code"/>
      </w:pPr>
      <w:r>
        <w:t>风险警戒与就医：【本例适用内容】</w:t>
      </w:r>
    </w:p>
    <w:p>
      <w:pPr>
        <w:pStyle w:val="Code"/>
      </w:pPr>
      <w:r>
        <w:t>随访责任 时间或触发条件：【真实方案】</w:t>
      </w:r>
    </w:p>
    <w:p>
      <w:pPr>
        <w:pStyle w:val="Code"/>
      </w:pPr>
      <w:r>
        <w:t>```</w:t>
      </w:r>
    </w:p>
    <w:p>
      <w:r>
        <w:t>长期衔接重点：家庭可获得饮食用品和照护需核实，交接摄入监测、吞咽许可和复诊。</w:t>
      </w:r>
    </w:p>
    <w:p>
      <w:r>
        <w:t>质量控制：疾病诊断与功能诊断分离；机制不能当成已查结果；许可与能力独立；不适用ST或其他操作不强加。所有专业意见保持来源及确认状态，最后经10终审。</w:t>
      </w:r>
    </w:p>
    <w:p>
      <w:bookmarkStart w:id="4" w:name="sec4"/>
      <w:pPr>
        <w:pStyle w:val="Heading1"/>
      </w:pPr>
      <w:r>
        <w:t>完整虚构病例与书写演示</w:t>
      </w:r>
      <w:bookmarkEnd w:id="4"/>
    </w:p>
    <w:p>
      <w:r>
        <w:t>本节资料全部虚构，仅用于教学和规则测试，禁止并入真实患者记录。</w:t>
      </w:r>
    </w:p>
    <w:p>
      <w:r>
        <w:t>虚构患者SIM106，住院SIM106-E01，女，82岁。原发疾病为多病共存及近期生活功能下降，仅在本模拟场景有效。</w:t>
      </w:r>
    </w:p>
    <w:p>
      <w:r>
        <w:t>病史与实查：10月20日入院，有糖尿病和高血压既往记录，近月摄入下降来自家属报告。30日起立需一人帮助，握力和肌量未测，不能确诊肌少症或只因年龄诊断衰弱。</w:t>
      </w:r>
    </w:p>
    <w:p>
      <w:r>
        <w:t>处方与许可及目标：近期提高实际穿衣参与并查明摄入疲劳原因，长期安全家庭照护；训练剂量与营养方案待临床核定。</w:t>
      </w:r>
    </w:p>
    <w:p>
      <w:r>
        <w:t>实际执行与反应：OT于10月30日14:00至14:20进行坐位穿上衣训练3次，有效12分钟，需口头提示与协助，后半程主诉疲劳；无新量表。</w:t>
      </w:r>
    </w:p>
    <w:p>
      <w:r>
        <w:t>ICF与出院：身体储备问题尚需评估，ADL和家庭参与受限；女儿支持但照护时段有限。出院仍为拟定，需复核当时医学稳定性、实际功能、照护和环境。随访以实际临床确认的日期或条件为准，本例尚未预约。</w:t>
      </w:r>
    </w:p>
    <w:p>
      <w:r>
        <w:t>疾病、功能和治疗三条证据线分别核对；未测评分不填，未执行治疗不补，未明确许可不升级。</w:t>
      </w:r>
    </w:p>
    <w:p>
      <w:r>
        <w:t>2026年10月31日 09:00 康复日常病程记录</w:t>
      </w:r>
    </w:p>
    <w:p>
      <w:pPr>
        <w:pStyle w:val="Code"/>
      </w:pPr>
      <w:r>
        <w:t>```text</w:t>
      </w:r>
    </w:p>
    <w:p>
      <w:pPr>
        <w:pStyle w:val="Code"/>
      </w:pPr>
      <w:r>
        <w:t>患者多病共存及近期生活功能下降，当前实际功能及治疗以10月30日评定和执行来源为依据。OT于10月30日14:00至14:20进行坐位穿上衣训练3次，有效12分钟，需口头提示与协助，后半程主诉疲劳；无新量表。近期提高实际穿衣参与并查明摄入疲劳原因，长期安全家庭照护；训练剂量与营养方案待临床核定。后续需完成相关功能复评、照护与环境核对；当前无新量表，不填写评分提高或目标已达成。</w:t>
      </w:r>
    </w:p>
    <w:p>
      <w:pPr>
        <w:pStyle w:val="Code"/>
      </w:pPr>
      <w:r>
        <w:t>```</w:t>
      </w:r>
    </w:p>
    <w:p>
      <w:bookmarkStart w:id="5" w:name="sec5"/>
      <w:pPr>
        <w:pStyle w:val="Heading1"/>
      </w:pPr>
      <w:r>
        <w:t>输出格式与真实性限制</w:t>
      </w:r>
      <w:bookmarkEnd w:id="5"/>
    </w:p>
    <w:p>
      <w:r>
        <w:t>日期、时间和完整文书标题置于代码框外；正式医学正文用独立Markdown text代码框。框内不重复题头，也不放AI前言或核对提示。日常病程及主治、副主任、主任查房正文连续一整段，无条目和空行；入院记录、首次病程、量表、处方、治疗执行、MDT、抢救、出院记录保留必要结构。抢救或治疗的临床事件时间仍须保留在正文。</w:t>
      </w:r>
    </w:p>
    <w:p>
      <w:r>
        <w:t>规则库中的【字段】是供填充的模板变量，不能成为真实患者事实；净稿必须替换全部变量。关键资料冲突时仅在框外给核对项并阻断受影响净稿，不能用“待核实”塞进一份看似完整的正式记录。非关键未测项按院内要求省略或明确未评定，不能填写正常。</w:t>
      </w:r>
    </w:p>
    <w:p>
      <w:bookmarkStart w:id="6" w:name="sec6"/>
      <w:pPr>
        <w:pStyle w:val="Heading1"/>
      </w:pPr>
      <w:r>
        <w:t>常见错误与最终质控清单</w:t>
      </w:r>
      <w:bookmarkEnd w:id="6"/>
    </w:p>
    <w:p>
      <w:r>
        <w:t>逐项核对身份与本次住院、侧别与损伤事件、疾病诊断及确定度、功能评定时间与版本、许可有效期、处方和执行状态、实际剂量和反应、目标证据、风险及异常事件、团队意见归属、出院去向及格式。上述各项不适用时注明理由，不以缺项代替阴性。</w:t>
      </w:r>
    </w:p>
    <w:p>
      <w:r>
        <w:t>严重问题：身份冲突、未经证实的评分或AIS、无许可升级活动负重、计划冒充执行、虚构人员意见、遗漏危急事件或吞咽安全许可。出现即阻断受影响净稿。重要问题：基线不可比、目标未量化且缺原因、执行剂量缺来源、家属能力未核。先退回相应模块补证或限制结论。一般问题：术语、单位、重复和排版，在不改变事实前提下修正。最终状态为通过、限结论通过或阻断，不能自行替医师签署。</w:t>
      </w:r>
    </w:p>
    <w:p>
      <w:bookmarkStart w:id="7" w:name="sec7"/>
      <w:pPr>
        <w:pStyle w:val="Heading1"/>
      </w:pPr>
      <w:r>
        <w:t>模块协同关系</w:t>
      </w:r>
      <w:bookmarkEnd w:id="7"/>
    </w:p>
    <w:p>
      <w:r>
        <w:t>00识别任务，01提供最高约束，11绑定患者、住院和事件。03提供功能事实及ICF问题表，04提供检查证据，05追踪治疗执行，06处理风险急变，07核对决策和处方，08管理真实查房与MDT，09关联目标和出院。101至108按实际问题联合调用。10最后审查，本模块不能跳过终审或覆盖01。</w:t>
      </w:r>
    </w:p>
    <w:p>
      <w:bookmarkStart w:id="8" w:name="sec8"/>
      <w:pPr>
        <w:pStyle w:val="Heading1"/>
      </w:pPr>
      <w:r>
        <w:t>指南与规范核验</w:t>
      </w:r>
      <w:bookmarkEnd w:id="8"/>
    </w:p>
    <w:p>
      <w:r>
        <w:t>检索基准为2026年10月31日。以下仅表示列明的核验范围；题录不等于已阅读全文，检索未见新版不等于证明不存在新版。团体标准、专家共识、推荐意见与国家或卫生行业标准分别标识。国外指南需结合中国批准范围和院内制度；具体技术参数、阈值和量表算法未核实则不内置。</w:t>
      </w:r>
    </w:p>
    <w:p>
      <w:pPr>
        <w:pStyle w:val="Heading3"/>
      </w:pPr>
      <w:r>
        <w:t>R01 病历书写基本规范</w:t>
      </w:r>
    </w:p>
    <w:p>
      <w:r>
        <w:t>发布机构：原卫生部。版本年份：2010 卫医政发〔2010〕11号。文件性质：部门规范性文件。适用范围：中国医疗机构医学文书。</w:t>
      </w:r>
    </w:p>
    <w:p>
      <w:r>
        <w:t>核验日期：2026年10月31日。核验范围与限制：官方发布页及检索正文可核实；页面直连部分请求受限。</w:t>
      </w:r>
    </w:p>
    <w:p>
      <w:r>
        <w:t>与本库相关规则：客观记录诊疗过程，实际记录者审核签名；不由AI代签。</w:t>
      </w:r>
    </w:p>
    <w:p>
      <w:r>
        <w:t>证据来源：</w:t>
      </w:r>
      <w:hyperlink r:id="rId11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R03 综合医院康复医学科建设与管理指南</w:t>
      </w:r>
    </w:p>
    <w:p>
      <w:r>
        <w:t>发布机构：原卫生部。版本年份：2011 卫医政发〔2011〕31号。文件性质：部门规范性文件。适用范围：综合医院康复医学科。</w:t>
      </w:r>
    </w:p>
    <w:p>
      <w:r>
        <w:t>核验日期：2026年10月31日。核验范围与限制：官方全文可见；不声称检索已穷尽所有后续地方规范。</w:t>
      </w:r>
    </w:p>
    <w:p>
      <w:r>
        <w:t>与本库相关规则：以功能评定和团队协作为专科基础，明确医师和治疗人员职责。</w:t>
      </w:r>
    </w:p>
    <w:p>
      <w:r>
        <w:t>证据来源：</w:t>
      </w:r>
      <w:hyperlink r:id="rId12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R07 International Classification of Functioning Disability and Health</w:t>
      </w:r>
    </w:p>
    <w:p>
      <w:r>
        <w:t>发布机构：WHO。版本年份：2001及WHO在线维护页面。文件性质：国际分类框架。适用范围：身体功能结构 活动参与 环境因素。</w:t>
      </w:r>
    </w:p>
    <w:p>
      <w:r>
        <w:t>核验日期：2026年10月31日。核验范围与限制：WHO官方分类页核实；编码使用须逐项查正式浏览器。</w:t>
      </w:r>
    </w:p>
    <w:p>
      <w:r>
        <w:t>与本库相关规则：个人因素作叙述；不从量表总分自动生成ICF限定值。</w:t>
      </w:r>
    </w:p>
    <w:p>
      <w:r>
        <w:t>证据来源：</w:t>
      </w:r>
      <w:hyperlink r:id="rId13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R17 社区老年人跌倒预防控制技术标准</w:t>
      </w:r>
    </w:p>
    <w:p>
      <w:r>
        <w:t>发布机构：国家卫生健康委。版本年份：WS/T 887—2026 2026-09-01实施。文件性质：推荐性卫生行业标准。适用范围：社区老年人跌倒预防。</w:t>
      </w:r>
    </w:p>
    <w:p>
      <w:r>
        <w:t>核验日期：2026年10月31日。核验范围与限制：官方发布页及PDF核实；不扩大为病房统一评分阈值。</w:t>
      </w:r>
    </w:p>
    <w:p>
      <w:r>
        <w:t>与本库相关规则：跌倒风险需综合个体、药物、任务和环境因素。</w:t>
      </w:r>
    </w:p>
    <w:p>
      <w:r>
        <w:t>证据来源：</w:t>
      </w:r>
      <w:hyperlink r:id="rId14">
        <w:r>
          <w:rPr>
            <w:color w:val="000000"/>
          </w:rPr>
          <w:t>打开原始发布页面</w:t>
        </w:r>
      </w:hyperlink>
    </w:p>
    <w:p>
      <w:pPr>
        <w:pStyle w:val="Heading3"/>
      </w:pPr>
      <w:r>
        <w:t>R23 Exercise Recommendation for People With Bone Metastases</w:t>
      </w:r>
    </w:p>
    <w:p>
      <w:r>
        <w:t>发布机构：International Bone Metastases Exercise Working Group。版本年份：2022 DOI 10.1200/OP.21.00454。文件性质：专家共识。适用范围：骨转移患者运动管理。</w:t>
      </w:r>
    </w:p>
    <w:p>
      <w:r>
        <w:t>核验日期：2026年10月31日。核验范围与限制：原始发表期刊摘要与PDF入口核实。</w:t>
      </w:r>
    </w:p>
    <w:p>
      <w:r>
        <w:t>与本库相关规则：骨病灶风险、负荷部位及肿瘤治疗计划共同决定训练。</w:t>
      </w:r>
    </w:p>
    <w:p>
      <w:r>
        <w:t>证据来源：</w:t>
      </w:r>
      <w:hyperlink r:id="rId15">
        <w:r>
          <w:rPr>
            <w:color w:val="000000"/>
          </w:rPr>
          <w:t>打开原始发布页面</w:t>
        </w:r>
      </w:hyperlink>
    </w:p>
    <w:p>
      <w:bookmarkStart w:id="9" w:name="sec9"/>
      <w:pPr>
        <w:pStyle w:val="Heading1"/>
      </w:pPr>
      <w:r>
        <w:t>版本更新与使用维护</w:t>
      </w:r>
      <w:bookmarkEnd w:id="9"/>
    </w:p>
    <w:p>
      <w:r>
        <w:t>版本V1.0，创建日期2026年10月31日。科室负责人会同PT、OT、ST、护理和病案质控审核后用于院内试用；季度复核来源，遇安全事件、重要指南、设备说明书、量表版本或院内制度变更及时更新。每次修订记录旧版、新版、原因、原始来源、受影响模块、审校者和回归测试编号，保留历史版。</w:t>
      </w:r>
    </w:p>
    <w:p>
      <w:r>
        <w:t>本交付是20份Word规则库。路由和状态字段属于运行契约；尚未开发持久化数据库、EMR接口或后台自动调度，不保证跨会话记忆。附录虚构病例与规则级测试不能替代临床验证、量表授权和真实医师审校。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康复医学科AI病历书写系统V1.0  106模块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Songti SC"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Times New Roman" w:hAnsi="Times New Roman" w:eastAsia="Songti SC" w:cs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Songti SC" w:cs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Songti SC" w:cs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Times New Roman" w:hAnsi="Times New Roman" w:eastAsia="Songti SC" w:cs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Songti SC" w:ascii="Times New Roman" w:hAnsi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Songti SC" w:ascii="Times New Roman" w:hAnsi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Songti SC" w:ascii="Times New Roman" w:hAnsi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Songti SC"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Songti SC"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Times New Roman" w:hAnsi="Times New Roman" w:eastAsia="Songti SC" w:cs="Times New Roman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Songti SC"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="Times New Roman" w:hAnsi="Times New Roman" w:eastAsia="Songti SC" w:cs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Songti SC"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Songti SC"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Songti SC"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Songti SC"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Songti SC"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Songti SC"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 w:ascii="Times New Roman" w:hAnsi="Times New Roman" w:cs="Times New Roman"/>
        <w:b/>
        <w:bCs/>
      </w:rPr>
    </w:tblStylePr>
    <w:tblStylePr w:type="lastCol">
      <w:rPr>
        <w:rFonts w:eastAsia="Songti SC"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Songti SC"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Songti SC" w:ascii="Times New Roman" w:hAnsi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 w:val="0"/>
      <w:spacing w:line="276" w:lineRule="auto" w:after="40"/>
      <w:ind w:left="142" w:right="85"/>
    </w:pPr>
    <w:rPr>
      <w:rFonts w:ascii="Courier New" w:hAnsi="Courier New" w:eastAsia="Songti SC" w:cs="Times New Roman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175/201002/b1bec53d90f243e0861529723f00221a.shtml" TargetMode="External"/><Relationship Id="rId12" Type="http://schemas.openxmlformats.org/officeDocument/2006/relationships/hyperlink" Target="https://www.nhc.gov.cn/wjw/gfxwj/201105/0fa3554447e84949aa129e88bb1cc7b6.shtml" TargetMode="External"/><Relationship Id="rId13" Type="http://schemas.openxmlformats.org/officeDocument/2006/relationships/hyperlink" Target="https://www.who.int/standards/classifications/international-classification-of-functioning-disability-and-health" TargetMode="External"/><Relationship Id="rId14" Type="http://schemas.openxmlformats.org/officeDocument/2006/relationships/hyperlink" Target="https://www.nhc.gov.cn/wjw/c100310/202603/1ec62b306fa9451a836e5a21fe1e2ce8.shtml" TargetMode="External"/><Relationship Id="rId15" Type="http://schemas.openxmlformats.org/officeDocument/2006/relationships/hyperlink" Target="https://ascopubs.org/doi/10.1200/OP.21.00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 老年衰弱慢性疾病肿瘤及营养康复模板库</dc:title>
  <dc:subject>康复医学科AI病历书写系统V1.0</dc:subject>
  <dc:creator>康复医学科规则库建设</dc:creator>
  <cp:keywords>康复医学 ICF PT OT ST 病历规则 V1.0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