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107 儿童脑瘫发育障碍及儿童专科康复模板库</w:t>
      </w:r>
    </w:p>
    <w:p>
      <w:pPr>
        <w:pStyle w:val="Subtitle"/>
      </w:pPr>
      <w:r>
        <w:t>V1.0  第三级规则库</w:t>
      </w:r>
    </w:p>
    <w:p>
      <w:r>
        <w:t>创建与核验基准  2026年10月31日</w:t>
      </w:r>
    </w:p>
    <w:p>
      <w:r>
        <w:t>按生长发育、家庭和学校参与制定儿童康复记录。正文提供临床资料契约、专业规则、可填充模板、完整虚构病例与质量控制。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专病使用边界与专业深度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专病场景与完整文书链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完整虚构病例与书写演示</w:t>
        </w:r>
      </w:hyperlink>
      <w:r>
        <w:tab/>
        <w:t>18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输出格式与真实性限制</w:t>
        </w:r>
      </w:hyperlink>
      <w:r>
        <w:tab/>
        <w:t>19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常见错误与最终质控清单</w:t>
        </w:r>
      </w:hyperlink>
      <w:r>
        <w:tab/>
        <w:t>19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模块协同关系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指南与规范核验</w:t>
        </w:r>
      </w:hyperlink>
      <w:r>
        <w:tab/>
        <w:t>20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版本更新与使用维护</w:t>
        </w:r>
      </w:hyperlink>
      <w:r>
        <w:tab/>
        <w:t>22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功能定位：按生长发育、家庭和学校参与制定儿童康复记录。本模块面向中国医院康复医师及具备权限的相关专业人员，作为医师审核前的规则与文书草稿库。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专病使用边界与专业深度</w:t>
      </w:r>
      <w:bookmarkEnd w:id="2"/>
    </w:p>
    <w:p>
      <w:r>
        <w:t>先确定原发疾病与康复阶段，再按下列独立场景核对病理机制、实际检查、ICF、目标与限制。每一场景均给出首次、日常、三级查房、中期、调整、异常、出院评定、出院记录及随访模板；必须填入本例真实资料。多个场景可联合，但不重复下达矛盾方案。</w:t>
      </w:r>
    </w:p>
    <w:p>
      <w:r>
        <w:t>评定与治疗要适用于该患者，未经评估的典型表现不是患者事实。专业治疗列为方向，不构成真实执行命令；不适用的PT、OT、ST或设备不加入。</w:t>
      </w:r>
    </w:p>
    <w:p>
      <w:bookmarkStart w:id="3" w:name="sec3"/>
      <w:pPr>
        <w:pStyle w:val="Heading1"/>
      </w:pPr>
      <w:r>
        <w:t>专病场景与完整文书链</w:t>
      </w:r>
      <w:bookmarkEnd w:id="3"/>
    </w:p>
    <w:p>
      <w:pPr>
        <w:pStyle w:val="Heading2"/>
      </w:pPr>
      <w:r>
        <w:t>01 脑瘫与运动功能</w:t>
      </w:r>
    </w:p>
    <w:p>
      <w:r>
        <w:t>覆盖场景：痉挛型及其他脑瘫、儿童步态足踝、上肢功能。</w:t>
      </w:r>
    </w:p>
    <w:p>
      <w:pPr>
        <w:pStyle w:val="Heading3"/>
      </w:pPr>
      <w:r>
        <w:t>疾病特点 机制与阶段</w:t>
      </w:r>
    </w:p>
    <w:p>
      <w:r>
        <w:t>非进行性脑损伤的临床表现随生长变化，运动、感觉认知交流和骨关节共病可共存。</w:t>
      </w:r>
    </w:p>
    <w:p>
      <w:r>
        <w:t>适用阶段和必需病史：核实际年龄、必要时矫正年龄、围产发育史、已确诊依据、癫痫视听、疼痛及家长诉求，不凭发育慢直接确诊脑瘫。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适龄运动和任务工具，GMFCS分类与GMFM测量分开，记录具体版本和评定者；髋关节、挛缩、步态与辅具按实际评估。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以游戏、移动、自理和家庭学校参与为目标，量化基于儿童基线，不套成人Barthel或步行阈值。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PT任务导向姿势移动，OT双手及精细ADL，ST有交流喂养问题时参与；矫形器需适配，家长实际训练另记。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疼痛、癫痫、疲劳、髋或脊柱等骨关节问题影响安全；不为“纠正姿势”强力牵伸。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病例特点：【脑瘫与运动功能的真实病程与阶段】。</w:t>
      </w:r>
    </w:p>
    <w:p>
      <w:pPr>
        <w:pStyle w:val="Code"/>
      </w:pPr>
      <w:r>
        <w:t>疾病诊断及依据：【原始报告与临床判断】；主要功能障碍：【适龄运动和任务工具，GMFCS分类与GMFM测量分开，记录具体版本和评定者所对应的实际结果】。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脑瘫与运动功能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脑瘫与运动功能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脑瘫与运动功能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脑瘫与运动功能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脑瘫与运动功能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本场景功能与活动：【脑瘫与运动功能相关的实测任务及助力器具】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诊疗经过：【脑瘫与运动功能疾病处理、功能基线、实际治疗、异常事件与复评】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长期衔接重点：长期随访生长、辅具适配、照护负担和学校支持，家长报告与正式测量结果分别保存。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02 运动与全面发育迟缓</w:t>
      </w:r>
    </w:p>
    <w:p>
      <w:r>
        <w:t>覆盖场景：粗大、精细运动、全面性发育迟缓。</w:t>
      </w:r>
    </w:p>
    <w:p>
      <w:pPr>
        <w:pStyle w:val="Heading3"/>
      </w:pPr>
      <w:r>
        <w:t>疾病特点 机制与阶段</w:t>
      </w:r>
    </w:p>
    <w:p>
      <w:r>
        <w:t>发育领域和进程不一致，需要鉴别听视、神经、遗传代谢等问题；不能由一个里程碑直接定全部病因。</w:t>
      </w:r>
    </w:p>
    <w:p>
      <w:r>
        <w:t>适用阶段和必需病史：核妊娠出生、早产、发育轨迹及退步、既往检查、环境机会和照护；出现技能丧失需及时专科评估。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适龄发育工具及所测域、版本、常模和限制；家长报告、临床观察和标准量表分开。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以真实年龄任务、游戏和家庭互动设目标，不承诺“追赶正常”时间。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PT运动任务，OT精细操作、游戏和自理；ST仅对交流喂养相应问题，必要发育儿科和其他专科协作。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不对所有迟缓做同一感觉刺激或设备套餐，注意过负荷、疼痛和感觉不适。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病例特点：【运动与全面发育迟缓的真实病程与阶段】。</w:t>
      </w:r>
    </w:p>
    <w:p>
      <w:pPr>
        <w:pStyle w:val="Code"/>
      </w:pPr>
      <w:r>
        <w:t>疾病诊断及依据：【原始报告与临床判断】；主要功能障碍：【适龄发育工具及所测域、版本、常模和限制所对应的实际结果】。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运动与全面发育迟缓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运动与全面发育迟缓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运动与全面发育迟缓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运动与全面发育迟缓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运动与全面发育迟缓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本场景功能与活动：【运动与全面发育迟缓相关的实测任务及助力器具】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诊疗经过：【运动与全面发育迟缓疾病处理、功能基线、实际治疗、异常事件与复评】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长期衔接重点：随访不同领域发育与家庭执行，家长理解和资源需核实，诊断未明保留转诊责任。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03 儿童语言交流 认知行为和喂养</w:t>
      </w:r>
    </w:p>
    <w:p>
      <w:r>
        <w:t>覆盖场景：语言迟缓、交流、吞咽、感觉运动及行为。</w:t>
      </w:r>
    </w:p>
    <w:p>
      <w:pPr>
        <w:pStyle w:val="Heading3"/>
      </w:pPr>
      <w:r>
        <w:t>疾病特点 机制与阶段</w:t>
      </w:r>
    </w:p>
    <w:p>
      <w:r>
        <w:t>语言与言语、交流、认知行为及喂养机制不同，需考虑听力、互动、情绪和发育背景。</w:t>
      </w:r>
    </w:p>
    <w:p>
      <w:r>
        <w:t>适用阶段和必需病史：采主要语言、听视力、互动、学校环境、喂养生长、气道和真实进食许可；不以双语或不配合直接诊断。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适龄交流和发育评估，观察理解表达及功能沟通，吞咽走104并核儿童适用条件；不套成人认知分界。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目标为表达需求、参与游戏学习和可行安全喂养，基于家长和儿童真实诉求。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ST交流和吞咽，OT游戏自理与环境；PT有运动问题才加，心理行为专业按实际职责参与。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喂养呛咳、体重生长问题或神经退步及时临床评估，不能强迫进食或自动改变质地。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病例特点：【儿童语言交流 认知行为和喂养的真实病程与阶段】。</w:t>
      </w:r>
    </w:p>
    <w:p>
      <w:pPr>
        <w:pStyle w:val="Code"/>
      </w:pPr>
      <w:r>
        <w:t>疾病诊断及依据：【原始报告与临床判断】；主要功能障碍：【适龄交流和发育评估，观察理解表达及功能沟通，吞咽走104并核儿童适用条件所对应的实际结果】。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患者【当日症状和实际任务变化】。今日查体【与儿童语言交流 认知行为和喂养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今日随【真实姓名】主治医师查房，患者【当日症状及功能】。今日查体【儿童语言交流 认知行为和喂养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今日随【真实姓名】副主任医师查房，患者【当日症状及功能】。今日查体【儿童语言交流 认知行为和喂养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今日随【真实姓名】主任医师查房，患者【当日症状及功能】。今日查体【儿童语言交流 认知行为和喂养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复评提示【儿童语言交流 认知行为和喂养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本场景功能与活动：【儿童语言交流 认知行为和喂养相关的实测任务及助力器具】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诊疗经过：【儿童语言交流 认知行为和喂养疾病处理、功能基线、实际治疗、异常事件与复评】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长期衔接重点：交接实际交流方式、饮食许可、学校支持和照护策略；家长复述和操作结果需实际记录。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04 儿童神经肌肉 脊髓及骨科术后</w:t>
      </w:r>
    </w:p>
    <w:p>
      <w:r>
        <w:t>覆盖场景：儿童神经肌肉病、SCI、骨科术后、矫形器。</w:t>
      </w:r>
    </w:p>
    <w:p>
      <w:pPr>
        <w:pStyle w:val="Heading3"/>
      </w:pPr>
      <w:r>
        <w:t>疾病特点 机制与阶段</w:t>
      </w:r>
    </w:p>
    <w:p>
      <w:r>
        <w:t>生长与疾病或修复相互影响，成人处方、药量和评分不可直接缩小移用。</w:t>
      </w:r>
    </w:p>
    <w:p>
      <w:r>
        <w:t>适用阶段和必需病史：核病因、发展趋势、手术修复结构、体重身高来源、骨骺生长和实际医师限制。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儿童适用力量、任务与耐量，神经分类或修复保护需相关专业确认，不能以成人量表直接判儿童功能。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结合维持能力、代偿、生长和学校参与设目标，进展性疾病可重在舒适及可持续参与。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PT许可内运动与呼吸；OT辅具及学习生活任务；ST有延髓或交流问题时加，器具随生长复核。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疲劳、呼吸无力、心肌病或骨脆性等按疾病实情核，术后活动不能凭日期升级。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病例特点：【儿童神经肌肉 脊髓及骨科术后的真实病程与阶段】。</w:t>
      </w:r>
    </w:p>
    <w:p>
      <w:pPr>
        <w:pStyle w:val="Code"/>
      </w:pPr>
      <w:r>
        <w:t>疾病诊断及依据：【原始报告与临床判断】；主要功能障碍：【儿童适用力量、任务与耐量，神经分类或修复保护需相关专业确认，不能以成人量表直接判儿童功能。所对应的实际结果】。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患者【当日症状和实际任务变化】。今日查体【与儿童神经肌肉 脊髓及骨科术后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今日随【真实姓名】主治医师查房，患者【当日症状及功能】。今日查体【儿童神经肌肉 脊髓及骨科术后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今日随【真实姓名】副主任医师查房，患者【当日症状及功能】。今日查体【儿童神经肌肉 脊髓及骨科术后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今日随【真实姓名】主任医师查房，患者【当日症状及功能】。今日查体【儿童神经肌肉 脊髓及骨科术后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复评提示【儿童神经肌肉 脊髓及骨科术后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本场景功能与活动：【儿童神经肌肉 脊髓及骨科术后相关的实测任务及助力器具】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诊疗经过：【儿童神经肌肉 脊髓及骨科术后疾病处理、功能基线、实际治疗、异常事件与复评】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长期衔接重点：明确家庭能力、辅具调整、学校配合和专科复诊，不编造家长已经掌握全部训练。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bookmarkStart w:id="4" w:name="sec4"/>
      <w:pPr>
        <w:pStyle w:val="Heading1"/>
      </w:pPr>
      <w:r>
        <w:t>完整虚构病例与书写演示</w:t>
      </w:r>
      <w:bookmarkEnd w:id="4"/>
    </w:p>
    <w:p>
      <w:r>
        <w:t>本节资料全部虚构，仅用于教学和规则测试，禁止并入真实患者记录。</w:t>
      </w:r>
    </w:p>
    <w:p>
      <w:r>
        <w:t>虚构患者SIM107，住院SIM107-E01，男，4岁2个月。原发疾病为已确诊痉挛型脑瘫，仅在本模拟场景有效。</w:t>
      </w:r>
    </w:p>
    <w:p>
      <w:r>
        <w:t>病史与实查：10月20日入院，诊断来自儿童专科转诊资料。30日地面坐位需上肢支撑，站立需双手及成人保护，可抓积木；未完成GMFM、GMFCS正式分类或成人ADL评定。</w:t>
      </w:r>
    </w:p>
    <w:p>
      <w:r>
        <w:t>处方与许可及目标：近期增加有意义游戏中的主动参与，长期幼儿园和家庭活动；具体量化目标待儿童团队与家长确认，不套成人标准。</w:t>
      </w:r>
    </w:p>
    <w:p>
      <w:r>
        <w:t>实际执行与反应：PT于10月30日10:00至10:20在允许条件下进行游戏化坐站任务5次，有效8分钟，因注意转移间歇；家长在场但未独立演练。</w:t>
      </w:r>
    </w:p>
    <w:p>
      <w:r>
        <w:t>ICF与出院：运动控制关联游戏和自理，家长有参与意愿，学校环境和辅具尚未核实。出院仍为拟定，需复核当时医学稳定性、实际功能、照护和环境。随访以实际临床确认的日期或条件为准，本例尚未预约。</w:t>
      </w:r>
    </w:p>
    <w:p>
      <w:r>
        <w:t>疾病、功能和治疗三条证据线分别核对；未测评分不填，未执行治疗不补，未明确许可不升级。</w:t>
      </w:r>
    </w:p>
    <w:p>
      <w:r>
        <w:t>2026年10月31日 09:00 康复日常病程记录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已确诊痉挛型脑瘫，当前实际功能及治疗以10月30日评定和执行来源为依据。PT于10月30日10:00至10:20在允许条件下进行游戏化坐站任务5次，有效8分钟，因注意转移间歇；家长在场但未独立演练。近期增加有意义游戏中的主动参与，长期幼儿园和家庭活动；具体量化目标待儿童团队与家长确认，不套成人标准。后续需完成相关功能复评、照护与环境核对；当前无新量表，不填写评分提高或目标已达成。</w:t>
      </w:r>
    </w:p>
    <w:p>
      <w:pPr>
        <w:pStyle w:val="Code"/>
      </w:pPr>
      <w:r>
        <w:t>```</w:t>
      </w:r>
    </w:p>
    <w:p>
      <w:bookmarkStart w:id="5" w:name="sec5"/>
      <w:pPr>
        <w:pStyle w:val="Heading1"/>
      </w:pPr>
      <w:r>
        <w:t>输出格式与真实性限制</w:t>
      </w:r>
      <w:bookmarkEnd w:id="5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6" w:name="sec6"/>
      <w:pPr>
        <w:pStyle w:val="Heading1"/>
      </w:pPr>
      <w:r>
        <w:t>常见错误与最终质控清单</w:t>
      </w:r>
      <w:bookmarkEnd w:id="6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7" w:name="sec7"/>
      <w:pPr>
        <w:pStyle w:val="Heading1"/>
      </w:pPr>
      <w:r>
        <w:t>模块协同关系</w:t>
      </w:r>
      <w:bookmarkEnd w:id="7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8" w:name="sec8"/>
      <w:pPr>
        <w:pStyle w:val="Heading1"/>
      </w:pPr>
      <w:r>
        <w:t>指南与规范核验</w:t>
      </w:r>
      <w:bookmarkEnd w:id="8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R18 Cerebral palsy in under 25s assessment and management</w:t>
      </w:r>
    </w:p>
    <w:p>
      <w:r>
        <w:t>发布机构：NICE。版本年份：NG62 2017 2024-09-19复核页面。文件性质：国外临床指南。适用范围：25岁以下脑瘫。</w:t>
      </w:r>
    </w:p>
    <w:p>
      <w:r>
        <w:t>核验日期：2026年10月31日。核验范围与限制：NICE官方适用范围和推荐页可见。</w:t>
      </w:r>
    </w:p>
    <w:p>
      <w:r>
        <w:t>与本库相关规则：儿童须考虑发育、喂养、交流、共病和家庭参与；适用中国时核院内路径。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R19 Spasticity in under 19s management</w:t>
      </w:r>
    </w:p>
    <w:p>
      <w:r>
        <w:t>发布机构：NICE。版本年份：CG145 2012 后续更新以官方页为准。文件性质：国外临床指南。适用范围：19岁以下痉挛 不替代成人指南。</w:t>
      </w:r>
    </w:p>
    <w:p>
      <w:r>
        <w:t>核验日期：2026年10月31日。核验范围与限制：NICE推荐页核实；药物批准范围不能直接移植中国。</w:t>
      </w:r>
    </w:p>
    <w:p>
      <w:r>
        <w:t>与本库相关规则：痉挛治疗围绕疼痛、照护和功能目标，干预后复评实际功能。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R26 中国脑性瘫痪康复指南 2022 第七章 康复途径及管理</w:t>
      </w:r>
    </w:p>
    <w:p>
      <w:r>
        <w:t>发布机构：原作者与发布机构待取得原文完整核实。版本年份：2022版。文件性质：指南题录线索。适用范围：国内儿童脑瘫康复。</w:t>
      </w:r>
    </w:p>
    <w:p>
      <w:r>
        <w:t>核验日期：2026年10月31日。核验范围与限制：SinoMed题录可见，原始期刊全文未取得；不作具体推荐依据。</w:t>
      </w:r>
    </w:p>
    <w:p>
      <w:r>
        <w:t>与本库相关规则：采用儿童专科审校清单，待取得合法全文后更新版本及推荐映射。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bookmarkStart w:id="9" w:name="sec9"/>
      <w:pPr>
        <w:pStyle w:val="Heading1"/>
      </w:pPr>
      <w:r>
        <w:t>版本更新与使用维护</w:t>
      </w:r>
      <w:bookmarkEnd w:id="9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107模块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wjw/gfxwj/201105/0fa3554447e84949aa129e88bb1cc7b6.shtml" TargetMode="External"/><Relationship Id="rId13" Type="http://schemas.openxmlformats.org/officeDocument/2006/relationships/hyperlink" Target="https://www.who.int/standards/classifications/international-classification-of-functioning-disability-and-health" TargetMode="External"/><Relationship Id="rId14" Type="http://schemas.openxmlformats.org/officeDocument/2006/relationships/hyperlink" Target="https://www.nice.org.uk/guidance/ng62/chapter/Recommendations" TargetMode="External"/><Relationship Id="rId15" Type="http://schemas.openxmlformats.org/officeDocument/2006/relationships/hyperlink" Target="https://www.nice.org.uk/guidance/cg145/chapter/Recommendations" TargetMode="External"/><Relationship Id="rId16" Type="http://schemas.openxmlformats.org/officeDocument/2006/relationships/hyperlink" Target="https://www.sinomed.ac.cn/article.do?ui=20231600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107 儿童脑瘫发育障碍及儿童专科康复模板库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