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11 康复医学科AI自动调用路由与康复病例状态管理规则库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定义患者住院事件、功能事实、目标与治疗状态的隔离和调度。正文提供临床资料契约、专业规则、可填充模板、完整虚构病例与质量控制。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病例数据模型及独立事件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核心字段字典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状态机与转换前置条件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时间轴与来源冲突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多维时间轴和调度</w:t>
        </w:r>
      </w:hyperlink>
      <w:r>
        <w:tab/>
        <w:t>5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路由表</w:t>
        </w:r>
      </w:hyperlink>
      <w:r>
        <w:tab/>
        <w:t>6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状态摘要模板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完整虚构病例与书写演示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输出格式与真实性限制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常见错误与最终质控清单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2">
        <w:r>
          <w:rPr>
            <w:color w:val="000000"/>
          </w:rPr>
          <w:t>模块协同关系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3">
        <w:r>
          <w:rPr>
            <w:color w:val="000000"/>
          </w:rPr>
          <w:t>指南与规范核验</w:t>
        </w:r>
      </w:hyperlink>
      <w:r>
        <w:tab/>
        <w:t>10</w:t>
      </w:r>
    </w:p>
    <w:p>
      <w:pPr>
        <w:tabs>
          <w:tab w:pos="9184" w:val="right" w:leader="dot"/>
        </w:tabs>
        <w:spacing w:after="80" w:line="264" w:lineRule="auto"/>
      </w:pPr>
      <w:hyperlink w:anchor="sec14">
        <w:r>
          <w:rPr>
            <w:color w:val="000000"/>
          </w:rPr>
          <w:t>版本更新与使用维护</w:t>
        </w:r>
      </w:hyperlink>
      <w:r>
        <w:tab/>
        <w:t>11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功能定位：定义患者住院事件、功能事实、目标与治疗状态的隔离和调度。本模块面向中国医院康复医师及具备权限的相关专业人员，作为医师审核前的规则与文书草稿库。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病例数据模型及独立事件</w:t>
      </w:r>
      <w:bookmarkEnd w:id="2"/>
    </w:p>
    <w:p>
      <w:r>
        <w:t>本模块定义逻辑合同，不宣称已存在数据库或可信持久记忆。每次会话均核当前患者和住院；新患者清空当前事实视图，新住院只经核实引用旧史，不继承旧评分、治疗、在位器具或现行许可。</w:t>
      </w:r>
    </w:p>
    <w:p>
      <w:bookmarkStart w:id="3" w:name="sec3"/>
      <w:pPr>
        <w:pStyle w:val="Heading1"/>
      </w:pPr>
      <w:r>
        <w:t>核心字段字典</w:t>
      </w:r>
      <w:bookmarkEnd w:id="3"/>
    </w:p>
    <w:p>
      <w:pPr>
        <w:pStyle w:val="Heading2"/>
      </w:pPr>
      <w:r>
        <w:t>patient_id encounter_id</w:t>
      </w:r>
    </w:p>
    <w:p>
      <w:r>
        <w:t>可靠患者主索引、本次住院、入院日期及关联来源；姓名和床号不能唯一识别。未知字段值为null并保存缺失原因，不能默认0、false或正常。</w:t>
      </w:r>
    </w:p>
    <w:p>
      <w:pPr>
        <w:pStyle w:val="Heading2"/>
      </w:pPr>
      <w:r>
        <w:t>injury_id surgery_id procedure_id</w:t>
      </w:r>
    </w:p>
    <w:p>
      <w:r>
        <w:t>事件部位、侧别、实际日期、结构状态、术者记录；多发损伤和多次操作独立。未知字段值为null并保存缺失原因，不能默认0、false或正常。</w:t>
      </w:r>
    </w:p>
    <w:p>
      <w:pPr>
        <w:pStyle w:val="Heading2"/>
      </w:pPr>
      <w:r>
        <w:t>fact_id source_id</w:t>
      </w:r>
    </w:p>
    <w:p>
      <w:r>
        <w:t>字段值、单位、发生记录和可用时间、原记录者、核验状态、修订链。未知字段值为null并保存缺失原因，不能默认0、false或正常。</w:t>
      </w:r>
    </w:p>
    <w:p>
      <w:pPr>
        <w:pStyle w:val="Heading2"/>
      </w:pPr>
      <w:r>
        <w:t>assessment_id</w:t>
      </w:r>
    </w:p>
    <w:p>
      <w:r>
        <w:t>领域、工具版本、语言、资格授权、原始变量、总分引用或计算、评定者、条件与有效性。未知字段值为null并保存缺失原因，不能默认0、false或正常。</w:t>
      </w:r>
    </w:p>
    <w:p>
      <w:pPr>
        <w:pStyle w:val="Heading2"/>
      </w:pPr>
      <w:r>
        <w:t>goal_id</w:t>
      </w:r>
    </w:p>
    <w:p>
      <w:r>
        <w:t>功能问题、基线、目标条件、期限、责任者、复评方法、达成证据和修改原因。未知字段值为null并保存缺失原因，不能默认0、false或正常。</w:t>
      </w:r>
    </w:p>
    <w:p>
      <w:pPr>
        <w:pStyle w:val="Heading2"/>
      </w:pPr>
      <w:r>
        <w:t>permission_id</w:t>
      </w:r>
    </w:p>
    <w:p>
      <w:r>
        <w:t>活动、ROM、负重、进食、氧疗等许可分别管理；确认者、部位和生效失效时间。未知字段值为null并保存缺失原因，不能默认0、false或正常。</w:t>
      </w:r>
    </w:p>
    <w:p>
      <w:pPr>
        <w:pStyle w:val="Heading2"/>
      </w:pPr>
      <w:r>
        <w:t>prescription_id</w:t>
      </w:r>
    </w:p>
    <w:p>
      <w:r>
        <w:t>建议、确认、已开、排程、执行中、暂停、完成、取消、终止及其真实来源。未知字段值为null并保存缺失原因，不能默认0、false或正常。</w:t>
      </w:r>
    </w:p>
    <w:p>
      <w:pPr>
        <w:pStyle w:val="Heading2"/>
      </w:pPr>
      <w:r>
        <w:t>rehab_session_id</w:t>
      </w:r>
    </w:p>
    <w:p>
      <w:r>
        <w:t>专业、执行者、实际时间、有效时长、内容负荷、器具、反应、中止与不良事件。未知字段值为null并保存缺失原因，不能默认0、false或正常。</w:t>
      </w:r>
    </w:p>
    <w:p>
      <w:pPr>
        <w:pStyle w:val="Heading2"/>
      </w:pPr>
      <w:r>
        <w:t>risk_id adverse_event_id</w:t>
      </w:r>
    </w:p>
    <w:p>
      <w:r>
        <w:t>风险与已发生事件区分，症状时间、证据、处理、通知与复训状态。未知字段值为null并保存缺失原因，不能默认0、false或正常。</w:t>
      </w:r>
    </w:p>
    <w:p>
      <w:pPr>
        <w:pStyle w:val="Heading2"/>
      </w:pPr>
      <w:r>
        <w:t>opinion_id meeting_id</w:t>
      </w:r>
    </w:p>
    <w:p>
      <w:r>
        <w:t>实际发言者、职称、时间、原意、共识、采纳与执行分别保存。未知字段值为null并保存缺失原因，不能默认0、false或正常。</w:t>
      </w:r>
    </w:p>
    <w:p>
      <w:pPr>
        <w:pStyle w:val="Heading2"/>
      </w:pPr>
      <w:r>
        <w:t>discharge_id followup_id</w:t>
      </w:r>
    </w:p>
    <w:p>
      <w:r>
        <w:t>疾病、实际功能、照护环境、辅具、去向、拟定或实际出院、随访反馈。未知字段值为null并保存缺失原因，不能默认0、false或正常。</w:t>
      </w:r>
    </w:p>
    <w:p>
      <w:bookmarkStart w:id="4" w:name="sec4"/>
      <w:pPr>
        <w:pStyle w:val="Heading1"/>
      </w:pPr>
      <w:r>
        <w:t>状态机与转换前置条件</w:t>
      </w:r>
      <w:bookmarkEnd w:id="4"/>
    </w:p>
    <w:p>
      <w:r>
        <w:t>处方：proposed→physician_confirmed→ordered→scheduled→active→completed。开始前可cancelled，执行中可paused或terminated；completed仅表示处方管理完成，不推定所有计划session均完成。每一转换保存actor、time和source_id。</w:t>
      </w:r>
    </w:p>
    <w:p>
      <w:r>
        <w:t>治疗：scheduled→started→completed；未开始可cancelled，开始后可stopped。stopped记录已执行剂量和原因；暂停后重新开始建立新session并关联复评与许可，不覆盖旧记录。</w:t>
      </w:r>
    </w:p>
    <w:p>
      <w:r>
        <w:t>评定：planned→partial或valid或invalid或unable；partial不得自动填总分。目标：proposed→agreed→in_progress→achieved或partly_achieved或not_achieved，允许paused或revised并保留旧版；期限不是自动转换条件。出院：planned→medically_approved→actually_discharged，各状态仍独立核实功能和照护条件。</w:t>
      </w:r>
    </w:p>
    <w:p>
      <w:bookmarkStart w:id="5" w:name="sec5"/>
      <w:pPr>
        <w:pStyle w:val="Heading1"/>
      </w:pPr>
      <w:r>
        <w:t>时间轴与来源冲突</w:t>
      </w:r>
      <w:bookmarkEnd w:id="5"/>
    </w:p>
    <w:p>
      <w:r>
        <w:t>observed_at是事实发生时点，recorded_at是录入时点，available_at是结果在临床可获得时点。迟报可在当前补记并说明，不回写为早已知晓。最新录入不一定最新发生；不同侧肢不同事件各自排序，不取全局最后一条覆盖。</w:t>
      </w:r>
    </w:p>
    <w:p>
      <w:r>
        <w:t>修订使用supersedes_fact_id、修订者与原因。疑似错配先quarantined，不能因多数报告相同就认定身份。撤销更正保留原值及审计链。记录已签状态和更正程序，不让AI直接改已签病历。</w:t>
      </w:r>
    </w:p>
    <w:p>
      <w:r>
        <w:t>多次住院评分若用于长期趋势，应明确跨住院比较、工具版本和条件；当前住院初评不得自动用旧住院出院分数替代。许可变化只对生效后的相关项目有效，不倒写到更早治疗。</w:t>
      </w:r>
    </w:p>
    <w:p>
      <w:bookmarkStart w:id="6" w:name="sec6"/>
      <w:pPr>
        <w:pStyle w:val="Heading1"/>
      </w:pPr>
      <w:r>
        <w:t>多维时间轴和调度</w:t>
      </w:r>
      <w:bookmarkEnd w:id="6"/>
    </w:p>
    <w:p>
      <w:r>
        <w:t>原病、评定、目标、执行、运动、骨科保护、吞咽认知和出院八条时间轴以事件关联。功能领域关联不代表固定恢复顺序，平衡或代偿改善也可能在力量不变时发生。</w:t>
      </w:r>
    </w:p>
    <w:p>
      <w:r>
        <w:t>接入任务后先检查急变，核身份与文书时间，再归类文书和康复阶段，读取相关领域状态，运行最小路由；冲突仅阻断受影响结论，危急安全提示优先。每次生成后调用10，记录实际加载的模块，未读文件不写已加载。</w:t>
      </w:r>
    </w:p>
    <w:p>
      <w:bookmarkStart w:id="7" w:name="sec7"/>
      <w:pPr>
        <w:pStyle w:val="Heading1"/>
      </w:pPr>
      <w:r>
        <w:t>路由表</w:t>
      </w:r>
      <w:bookmarkEnd w:id="7"/>
    </w:p>
    <w:p>
      <w:pPr>
        <w:pStyle w:val="Heading2"/>
      </w:pPr>
      <w:r>
        <w:t>脑卒中首次病程</w:t>
      </w:r>
    </w:p>
    <w:p>
      <w:r>
        <w:t>00识别后执行01＋11＋02＋03＋04＋101＋10。识别卒中类型、神经实查与初期功能，不从病灶猜评分。</w:t>
      </w:r>
    </w:p>
    <w:p>
      <w:pPr>
        <w:pStyle w:val="Heading2"/>
      </w:pPr>
      <w:r>
        <w:t>偏瘫主任查房</w:t>
      </w:r>
    </w:p>
    <w:p>
      <w:r>
        <w:t>00识别后执行01＋11＋02＋03＋05＋08＋101＋10。主任真实意见、功能目标与已执行剂量分别取证。</w:t>
      </w:r>
    </w:p>
    <w:p>
      <w:pPr>
        <w:pStyle w:val="Heading2"/>
      </w:pPr>
      <w:r>
        <w:t>SCI分类分析</w:t>
      </w:r>
    </w:p>
    <w:p>
      <w:r>
        <w:t>00识别后执行01＋11＋03＋04＋102＋10。有正式版本、完整检查和分类者结论才引AIS。</w:t>
      </w:r>
    </w:p>
    <w:p>
      <w:pPr>
        <w:pStyle w:val="Heading2"/>
      </w:pPr>
      <w:r>
        <w:t>关节置换方案</w:t>
      </w:r>
    </w:p>
    <w:p>
      <w:r>
        <w:t>00识别后执行01＋11＋02＋03＋05＋07＋103＋10。术式、入路、保护结构、活动及负重许可。</w:t>
      </w:r>
    </w:p>
    <w:p>
      <w:pPr>
        <w:pStyle w:val="Heading2"/>
      </w:pPr>
      <w:r>
        <w:t>股骨骨折负重核对</w:t>
      </w:r>
    </w:p>
    <w:p>
      <w:r>
        <w:t>00识别后执行01＋11＋03＋07＋103＋10。影像或患者能走不能替代术者许可。</w:t>
      </w:r>
    </w:p>
    <w:p>
      <w:pPr>
        <w:pStyle w:val="Heading2"/>
      </w:pPr>
      <w:r>
        <w:t>VFSS报告分析</w:t>
      </w:r>
    </w:p>
    <w:p>
      <w:r>
        <w:t>00识别后执行01＋11＋03＋04＋104＋10。实际造影条件和表现；不能改写为FEES。</w:t>
      </w:r>
    </w:p>
    <w:p>
      <w:pPr>
        <w:pStyle w:val="Heading2"/>
      </w:pPr>
      <w:r>
        <w:t>COPD呼吸康复</w:t>
      </w:r>
    </w:p>
    <w:p>
      <w:r>
        <w:t>00识别后执行01＋11＋02＋03＋05＋07＋105＋10。心肺评估、氧疗条件、负荷来源。</w:t>
      </w:r>
    </w:p>
    <w:p>
      <w:pPr>
        <w:pStyle w:val="Heading2"/>
      </w:pPr>
      <w:r>
        <w:t>ICU获得性衰弱病程</w:t>
      </w:r>
    </w:p>
    <w:p>
      <w:r>
        <w:t>00识别后执行01＋11＋02＋03＋05＋06＋105＋10。可合作程度、重症团队许可、设备管路及暂停条件。</w:t>
      </w:r>
    </w:p>
    <w:p>
      <w:pPr>
        <w:pStyle w:val="Heading2"/>
      </w:pPr>
      <w:r>
        <w:t>老年衰弱主任查房</w:t>
      </w:r>
    </w:p>
    <w:p>
      <w:r>
        <w:t>00识别后执行01＋11＋02＋03＋08＋106＋10。衰弱依据、可逆因素、照护及长期参与。</w:t>
      </w:r>
    </w:p>
    <w:p>
      <w:pPr>
        <w:pStyle w:val="Heading2"/>
      </w:pPr>
      <w:r>
        <w:t>儿童脑瘫评定</w:t>
      </w:r>
    </w:p>
    <w:p>
      <w:r>
        <w:t>00识别后执行01＋11＋02＋03＋107＋10。实际和矫正年龄、儿童工具与家庭参与。</w:t>
      </w:r>
    </w:p>
    <w:p>
      <w:pPr>
        <w:pStyle w:val="Heading2"/>
      </w:pPr>
      <w:r>
        <w:t>截肢假肢训练</w:t>
      </w:r>
    </w:p>
    <w:p>
      <w:r>
        <w:t>00识别后执行01＋11＋02＋03＋05＋108＋10。残肢皮肤、适配、实际穿戴及行走能力。</w:t>
      </w:r>
    </w:p>
    <w:p>
      <w:pPr>
        <w:pStyle w:val="Heading2"/>
      </w:pPr>
      <w:r>
        <w:t>训练中胸痛呼吸困难</w:t>
      </w:r>
    </w:p>
    <w:p>
      <w:r>
        <w:t>00识别后执行01＋11＋02＋04＋06＋105＋10。优先现场停止活动、呼叫评估；不先补满量表。</w:t>
      </w:r>
    </w:p>
    <w:p>
      <w:pPr>
        <w:pStyle w:val="Heading2"/>
      </w:pPr>
      <w:r>
        <w:t>中期评定目标调整</w:t>
      </w:r>
    </w:p>
    <w:p>
      <w:r>
        <w:t>00识别后执行01＋11＋02＋03＋05＋09＋相关专病＋10。配对基线、实际剂量、未达成原因。</w:t>
      </w:r>
    </w:p>
    <w:p>
      <w:pPr>
        <w:pStyle w:val="Heading2"/>
      </w:pPr>
      <w:r>
        <w:t>出院评定与出院记录</w:t>
      </w:r>
    </w:p>
    <w:p>
      <w:r>
        <w:t>00识别后执行01＋11＋02＋03＋09＋相关专病＋10。医学稳定性、功能和照护环境分别核实。</w:t>
      </w:r>
    </w:p>
    <w:p>
      <w:pPr>
        <w:pStyle w:val="Heading2"/>
      </w:pPr>
      <w:r>
        <w:t>单纯PT执行</w:t>
      </w:r>
    </w:p>
    <w:p>
      <w:r>
        <w:t>00识别后执行01＋11＋03＋05＋相关专病＋10。排程、训练实际起止和反应，不必调用08。</w:t>
      </w:r>
    </w:p>
    <w:p>
      <w:pPr>
        <w:pStyle w:val="Heading2"/>
      </w:pPr>
      <w:r>
        <w:t>吞咽训练中异常</w:t>
      </w:r>
    </w:p>
    <w:p>
      <w:r>
        <w:t>00识别后执行01＋11＋04＋05＋06＋104＋10。呛咳、湿嗓及呼吸变化；未经评估不升级质地。</w:t>
      </w:r>
    </w:p>
    <w:p>
      <w:pPr>
        <w:pStyle w:val="Heading2"/>
      </w:pPr>
      <w:r>
        <w:t>MDT讨论</w:t>
      </w:r>
    </w:p>
    <w:p>
      <w:r>
        <w:t>00识别后执行01＋11＋02＋03＋05＋08＋09＋相关专病＋10。与会者、各人原意见、共识、采纳与执行分离。</w:t>
      </w:r>
    </w:p>
    <w:p>
      <w:pPr>
        <w:pStyle w:val="Heading2"/>
      </w:pPr>
      <w:r>
        <w:t>报告原文整理</w:t>
      </w:r>
    </w:p>
    <w:p>
      <w:r>
        <w:t>00识别后执行01＋11＋04＋相关专病＋10。原文与分析分区，无需强加治疗计划。</w:t>
      </w:r>
    </w:p>
    <w:p>
      <w:bookmarkStart w:id="8" w:name="sec8"/>
      <w:pPr>
        <w:pStyle w:val="Heading1"/>
      </w:pPr>
      <w:r>
        <w:t>状态摘要模板</w:t>
      </w:r>
      <w:bookmarkEnd w:id="8"/>
    </w:p>
    <w:p>
      <w:r>
        <w:t>【文书日期及时间】 病例状态摘要</w:t>
      </w:r>
    </w:p>
    <w:p>
      <w:pPr>
        <w:pStyle w:val="Code"/>
      </w:pPr>
      <w:r>
        <w:t>```text</w:t>
      </w:r>
    </w:p>
    <w:p>
      <w:pPr>
        <w:pStyle w:val="Code"/>
      </w:pPr>
      <w:r>
        <w:t>患者及住院：【主键】</w:t>
      </w:r>
    </w:p>
    <w:p>
      <w:pPr>
        <w:pStyle w:val="Code"/>
      </w:pPr>
      <w:r>
        <w:t>文书时间和可用来源：【资料】</w:t>
      </w:r>
    </w:p>
    <w:p>
      <w:pPr>
        <w:pStyle w:val="Code"/>
      </w:pPr>
      <w:r>
        <w:t>疾病阶段与功能问题：【证据】</w:t>
      </w:r>
    </w:p>
    <w:p>
      <w:pPr>
        <w:pStyle w:val="Code"/>
      </w:pPr>
      <w:r>
        <w:t>活动负重进食许可：【分领域现行状态】</w:t>
      </w:r>
    </w:p>
    <w:p>
      <w:pPr>
        <w:pStyle w:val="Code"/>
      </w:pPr>
      <w:r>
        <w:t>评定及目标：【最新有效事实及历史时间】</w:t>
      </w:r>
    </w:p>
    <w:p>
      <w:pPr>
        <w:pStyle w:val="Code"/>
      </w:pPr>
      <w:r>
        <w:t>处方和逐次执行：【分开列表】</w:t>
      </w:r>
    </w:p>
    <w:p>
      <w:pPr>
        <w:pStyle w:val="Code"/>
      </w:pPr>
      <w:r>
        <w:t>风险与不良事件：【状态】</w:t>
      </w:r>
    </w:p>
    <w:p>
      <w:pPr>
        <w:pStyle w:val="Code"/>
      </w:pPr>
      <w:r>
        <w:t>出院与随访：【计划或实际】</w:t>
      </w:r>
    </w:p>
    <w:p>
      <w:pPr>
        <w:pStyle w:val="Code"/>
      </w:pPr>
      <w:r>
        <w:t>待核冲突及实际调用模块：【内容】</w:t>
      </w:r>
    </w:p>
    <w:p>
      <w:pPr>
        <w:pStyle w:val="Code"/>
      </w:pPr>
      <w:r>
        <w:t>```</w:t>
      </w:r>
    </w:p>
    <w:p>
      <w:bookmarkStart w:id="9" w:name="sec9"/>
      <w:pPr>
        <w:pStyle w:val="Heading1"/>
      </w:pPr>
      <w:r>
        <w:t>完整虚构病例与书写演示</w:t>
      </w:r>
      <w:bookmarkEnd w:id="9"/>
    </w:p>
    <w:p>
      <w:r>
        <w:t>本节资料全部虚构，仅用于教学和规则测试，禁止并入真实患者记录。</w:t>
      </w:r>
    </w:p>
    <w:p>
      <w:r>
        <w:t>虚构患者SIM012，住院SIM012-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同患者另有E00于2026年8月的ADL结果，不能标成E01今日评定。新计划P02尚未执行，不能生成S02治疗反应。</w:t>
      </w:r>
    </w:p>
    <w:p>
      <w:r>
        <w:t>2026年10月31日 09:00 病例状态核对</w:t>
      </w:r>
    </w:p>
    <w:p>
      <w:pPr>
        <w:pStyle w:val="Code"/>
      </w:pPr>
      <w:r>
        <w:t>```text</w:t>
      </w:r>
    </w:p>
    <w:p>
      <w:pPr>
        <w:pStyle w:val="Code"/>
      </w:pPr>
      <w:r>
        <w:t>本次住院为SIM012-E01，当前可追溯治疗为10月30日PT转移训练。2026年8月的旧住院评定仅作历史资料，不作为本次入院或今日评分；新处方P02仍为拟定，不生成实际治疗量或耐受结论。</w:t>
      </w:r>
    </w:p>
    <w:p>
      <w:pPr>
        <w:pStyle w:val="Code"/>
      </w:pPr>
      <w:r>
        <w:t>```</w:t>
      </w:r>
    </w:p>
    <w:p>
      <w:bookmarkStart w:id="10" w:name="sec10"/>
      <w:pPr>
        <w:pStyle w:val="Heading1"/>
      </w:pPr>
      <w:r>
        <w:t>输出格式与真实性限制</w:t>
      </w:r>
      <w:bookmarkEnd w:id="10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11" w:name="sec11"/>
      <w:pPr>
        <w:pStyle w:val="Heading1"/>
      </w:pPr>
      <w:r>
        <w:t>常见错误与最终质控清单</w:t>
      </w:r>
      <w:bookmarkEnd w:id="11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12" w:name="sec12"/>
      <w:pPr>
        <w:pStyle w:val="Heading1"/>
      </w:pPr>
      <w:r>
        <w:t>模块协同关系</w:t>
      </w:r>
      <w:bookmarkEnd w:id="12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3" w:name="sec13"/>
      <w:pPr>
        <w:pStyle w:val="Heading1"/>
      </w:pPr>
      <w:r>
        <w:t>指南与规范核验</w:t>
      </w:r>
      <w:bookmarkEnd w:id="13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R05 基于国际功能 残疾和健康分类的结构化康复病例书写指南 第1部分 总则</w:t>
      </w:r>
    </w:p>
    <w:p>
      <w:r>
        <w:t>发布机构：上海市康复医学会。版本年份：T/SRMA 40.1—2025。文件性质：团体标准。适用范围：ICF结构化康复病例。</w:t>
      </w:r>
    </w:p>
    <w:p>
      <w:r>
        <w:t>核验日期：2026年10月31日。核验范围与限制：平台PDF可读；检索出现2026版线索，替代关系未获一手确认，2025仅作已核历史依据。</w:t>
      </w:r>
    </w:p>
    <w:p>
      <w:r>
        <w:t>与本库相关规则：采用可追溯功能问题、目标及团队干预框架；非强制性国家标准。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R10 International Standards for Neurological Classification of Spinal Cord Injury</w:t>
      </w:r>
    </w:p>
    <w:p>
      <w:r>
        <w:t>发布机构：ASIA ISCoS相关专家。版本年份：9th edition 2026 DOI 10.46292/sci26-00067。文件性质：正式分类标准。适用范围：脊髓损伤神经学分类。</w:t>
      </w:r>
    </w:p>
    <w:p>
      <w:r>
        <w:t>核验日期：2026年10月31日。核验范围与限制：ASIA官网确认2026版及许可；DOI全文请求403，未核全部新版变化；中文2026授权版未取得。</w:t>
      </w:r>
    </w:p>
    <w:p>
      <w:r>
        <w:t>与本库相关规则：不内置旧版分类算法冒充2026；正式分类保留版本和原始检查。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bookmarkStart w:id="14" w:name="sec14"/>
      <w:pPr>
        <w:pStyle w:val="Heading1"/>
      </w:pPr>
      <w:r>
        <w:t>版本更新与使用维护</w:t>
      </w:r>
      <w:bookmarkEnd w:id="14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11模块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gfxwj/201105/0fa3554447e84949aa129e88bb1cc7b6.shtml" TargetMode="External"/><Relationship Id="rId14" Type="http://schemas.openxmlformats.org/officeDocument/2006/relationships/hyperlink" Target="https://www.ttbz.org.cn/upload/file/20250708/6388758787613481814121745.pdf" TargetMode="External"/><Relationship Id="rId15" Type="http://schemas.openxmlformats.org/officeDocument/2006/relationships/hyperlink" Target="https://www.who.int/standards/classifications/international-classification-of-functioning-disability-and-health" TargetMode="External"/><Relationship Id="rId16" Type="http://schemas.openxmlformats.org/officeDocument/2006/relationships/hyperlink" Target="https://asia-spinalinjury.org/international-standards-neurological-classification-sci-isncsci-workshe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康复医学科AI自动调用路由与康复病例状态管理规则库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