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心内科病史采集与心血管专科检查模板库</w:t>
      </w:r>
    </w:p>
    <w:p>
      <w:r>
        <w:t>文件名称：03心内科病史采集与心血管专科检查模板库.docx</w:t>
      </w:r>
    </w:p>
    <w:p>
      <w:r>
        <w:t>第二级 版本2.0 构建日期2026年10月25日</w:t>
      </w:r>
    </w:p>
    <w:p>
      <w:r>
        <w:rPr>
          <w:b/>
        </w:rPr>
        <w:t>模块定位与职责：</w:t>
      </w:r>
      <w:r>
        <w:t>心血管症状、危险因素及16步专科检查。</w:t>
      </w:r>
    </w:p>
    <w:p>
      <w:r>
        <w:rPr>
          <w:b/>
        </w:rPr>
        <w:t>调用条件：</w:t>
      </w:r>
      <w:r>
        <w:t>病史缺项、入院及当日查体采集。</w:t>
      </w:r>
    </w:p>
    <w:p>
      <w:r>
        <w:rPr>
          <w:b/>
        </w:rPr>
        <w:t>所需患者资料：</w:t>
      </w:r>
      <w:r>
        <w:t>患者陈述、询问与实际查体，测量条件及来源。</w:t>
      </w:r>
    </w:p>
    <w:p>
      <w:r>
        <w:rPr>
          <w:b/>
        </w:rPr>
        <w:t>医学分析流程：</w:t>
      </w:r>
      <w:r>
        <w:t>症状结构化→危险因素用药→16步所检→事实标识→02/08。</w:t>
      </w:r>
    </w:p>
    <w:p>
      <w:r>
        <w:rPr>
          <w:b/>
        </w:rPr>
        <w:t>模块关系：</w:t>
      </w:r>
      <w:r>
        <w:t>01事实边界，02文书，04客观检查，11存来源时点。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十五类病史采集模块</w:t>
        </w:r>
      </w:hyperlink>
    </w:p>
    <w:p>
      <w:pPr>
        <w:spacing w:after="0" w:line="240" w:lineRule="exact"/>
        <w:snapToGrid w:val="0"/>
      </w:pPr>
      <w:hyperlink w:anchor="s1002">
        <w:r>
          <w:t>1 胸痛</w:t>
        </w:r>
      </w:hyperlink>
    </w:p>
    <w:p>
      <w:pPr>
        <w:spacing w:after="0" w:line="240" w:lineRule="exact"/>
        <w:snapToGrid w:val="0"/>
      </w:pPr>
      <w:hyperlink w:anchor="s1003">
        <w:r>
          <w:t>2 胸闷</w:t>
        </w:r>
      </w:hyperlink>
    </w:p>
    <w:p>
      <w:pPr>
        <w:spacing w:after="0" w:line="240" w:lineRule="exact"/>
        <w:snapToGrid w:val="0"/>
      </w:pPr>
      <w:hyperlink w:anchor="s1004">
        <w:r>
          <w:t>3 心悸</w:t>
        </w:r>
      </w:hyperlink>
    </w:p>
    <w:p>
      <w:pPr>
        <w:spacing w:after="0" w:line="240" w:lineRule="exact"/>
        <w:snapToGrid w:val="0"/>
      </w:pPr>
      <w:hyperlink w:anchor="s1005">
        <w:r>
          <w:t>4 呼吸困难</w:t>
        </w:r>
      </w:hyperlink>
    </w:p>
    <w:p>
      <w:pPr>
        <w:spacing w:after="0" w:line="240" w:lineRule="exact"/>
        <w:snapToGrid w:val="0"/>
      </w:pPr>
      <w:hyperlink w:anchor="s1006">
        <w:r>
          <w:t>5 晕厥</w:t>
        </w:r>
      </w:hyperlink>
    </w:p>
    <w:p>
      <w:pPr>
        <w:spacing w:after="0" w:line="240" w:lineRule="exact"/>
        <w:snapToGrid w:val="0"/>
      </w:pPr>
      <w:hyperlink w:anchor="s1007">
        <w:r>
          <w:t>6 水肿</w:t>
        </w:r>
      </w:hyperlink>
    </w:p>
    <w:p>
      <w:pPr>
        <w:spacing w:after="0" w:line="240" w:lineRule="exact"/>
        <w:snapToGrid w:val="0"/>
      </w:pPr>
      <w:hyperlink w:anchor="s1008">
        <w:r>
          <w:t>7 端坐呼吸</w:t>
        </w:r>
      </w:hyperlink>
    </w:p>
    <w:p>
      <w:pPr>
        <w:spacing w:after="0" w:line="240" w:lineRule="exact"/>
        <w:snapToGrid w:val="0"/>
      </w:pPr>
      <w:hyperlink w:anchor="s1009">
        <w:r>
          <w:t>8 夜间阵发性呼吸困难</w:t>
        </w:r>
      </w:hyperlink>
    </w:p>
    <w:p>
      <w:pPr>
        <w:spacing w:after="0" w:line="240" w:lineRule="exact"/>
        <w:snapToGrid w:val="0"/>
      </w:pPr>
      <w:hyperlink w:anchor="s1010">
        <w:r>
          <w:t>9 黑矇与运动耐量下降</w:t>
        </w:r>
      </w:hyperlink>
    </w:p>
    <w:p>
      <w:pPr>
        <w:spacing w:after="0" w:line="240" w:lineRule="exact"/>
        <w:snapToGrid w:val="0"/>
      </w:pPr>
      <w:hyperlink w:anchor="s1011">
        <w:r>
          <w:t>10 心血管危险因素</w:t>
        </w:r>
      </w:hyperlink>
    </w:p>
    <w:p>
      <w:pPr>
        <w:spacing w:after="0" w:line="240" w:lineRule="exact"/>
        <w:snapToGrid w:val="0"/>
      </w:pPr>
      <w:hyperlink w:anchor="s1012">
        <w:r>
          <w:t>11 既往心肌梗死</w:t>
        </w:r>
      </w:hyperlink>
    </w:p>
    <w:p>
      <w:pPr>
        <w:spacing w:after="0" w:line="240" w:lineRule="exact"/>
        <w:snapToGrid w:val="0"/>
      </w:pPr>
      <w:hyperlink w:anchor="s1013">
        <w:r>
          <w:t>12 既往PCI和心脏手术</w:t>
        </w:r>
      </w:hyperlink>
    </w:p>
    <w:p>
      <w:pPr>
        <w:spacing w:after="0" w:line="240" w:lineRule="exact"/>
        <w:snapToGrid w:val="0"/>
      </w:pPr>
      <w:hyperlink w:anchor="s1014">
        <w:r>
          <w:t>13 起搏器及其他心脏器械史</w:t>
        </w:r>
      </w:hyperlink>
    </w:p>
    <w:p>
      <w:pPr>
        <w:spacing w:after="0" w:line="240" w:lineRule="exact"/>
        <w:snapToGrid w:val="0"/>
      </w:pPr>
      <w:hyperlink w:anchor="s1015">
        <w:r>
          <w:t>14 抗凝与抗血小板史</w:t>
        </w:r>
      </w:hyperlink>
    </w:p>
    <w:p>
      <w:pPr>
        <w:spacing w:after="0" w:line="240" w:lineRule="exact"/>
        <w:snapToGrid w:val="0"/>
      </w:pPr>
      <w:hyperlink w:anchor="s1016">
        <w:r>
          <w:t>15 心脏手术与围术期史</w:t>
        </w:r>
      </w:hyperlink>
    </w:p>
    <w:p>
      <w:pPr>
        <w:spacing w:after="0" w:line="240" w:lineRule="exact"/>
        <w:snapToGrid w:val="0"/>
      </w:pPr>
      <w:hyperlink w:anchor="s1017">
        <w:r>
          <w:t>心血管专科检查的十六步顺序</w:t>
        </w:r>
      </w:hyperlink>
    </w:p>
    <w:p>
      <w:pPr>
        <w:spacing w:after="0" w:line="240" w:lineRule="exact"/>
        <w:snapToGrid w:val="0"/>
      </w:pPr>
      <w:hyperlink w:anchor="s1018">
        <w:r>
          <w:t>典型应用与模块协作</w:t>
        </w:r>
      </w:hyperlink>
    </w:p>
    <w:p>
      <w:pPr>
        <w:spacing w:after="0" w:line="240" w:lineRule="exact"/>
        <w:snapToGrid w:val="0"/>
      </w:pPr>
      <w:hyperlink w:anchor="s1019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t>继承01全部强制格式：实际日期时间和标题仅在框外；正文独立text代码框；日常病程和各级查房单段，无空行、额外空格、AI说明及变量残留。10终审后方可输出。</w:t>
      </w:r>
    </w:p>
    <w:p>
      <w:bookmarkStart w:id="1001" w:name="s1001"/>
      <w:pPr>
        <w:pStyle w:val="Heading1"/>
      </w:pPr>
      <w:r>
        <w:t>十五类病史采集模块</w:t>
      </w:r>
      <w:bookmarkEnd w:id="1001"/>
    </w:p>
    <w:p>
      <w:bookmarkStart w:id="1002" w:name="s1002"/>
      <w:pPr>
        <w:pStyle w:val="Heading1"/>
      </w:pPr>
      <w:r>
        <w:t>1 胸痛</w:t>
      </w:r>
      <w:bookmarkEnd w:id="1002"/>
    </w:p>
    <w:p>
      <w:r>
        <w:rPr>
          <w:b/>
        </w:rPr>
        <w:t>采集与分析：</w:t>
      </w:r>
      <w:r>
        <w:t>胸部具体部位、压榨或刺痛等性质、强度、放射、活动或静息诱发、每次持续、缓解因素、伴冷汗恶心及呼吸困难；询问突发撕裂痛、体位呼吸相关痛和咯血。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患者〈胸痛的真实经过、程度、伴随表现和诊疗反应〉。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不能仅凭硝酸酯缓解确诊冠心病；不得将慢性稳定症状写成急性持续胸痛。</w:t>
      </w:r>
    </w:p>
    <w:p>
      <w:bookmarkStart w:id="1003" w:name="s1003"/>
      <w:pPr>
        <w:pStyle w:val="Heading1"/>
      </w:pPr>
      <w:r>
        <w:t>2 胸闷</w:t>
      </w:r>
      <w:bookmarkEnd w:id="1003"/>
    </w:p>
    <w:p>
      <w:r>
        <w:rPr>
          <w:b/>
        </w:rPr>
        <w:t>采集与分析：</w:t>
      </w:r>
      <w:r>
        <w:t>闷压感、发生情境、持续、活动耐量、夜间发作、胸痛及喘息关联；评估缺血、心衰、肺部与非心源性原因。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患者〈胸闷的真实经过、程度、伴随表现和诊疗反应〉。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胸闷不自动等同心绞痛；未询问不得写无胸痛。</w:t>
      </w:r>
    </w:p>
    <w:p>
      <w:bookmarkStart w:id="1004" w:name="s1004"/>
      <w:pPr>
        <w:pStyle w:val="Heading1"/>
      </w:pPr>
      <w:r>
        <w:t>3 心悸</w:t>
      </w:r>
      <w:bookmarkEnd w:id="1004"/>
    </w:p>
    <w:p>
      <w:r>
        <w:rPr>
          <w:b/>
        </w:rPr>
        <w:t>采集与分析：</w:t>
      </w:r>
      <w:r>
        <w:t>起止突发或渐进、规则性、自测脉率、发作时心电证据、晕厥与胸痛、药物咖啡因饮酒关联。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患者〈心悸的真实经过、程度、伴随表现和诊疗反应〉。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主观心悸不能推算房颤负荷；无记录不认定具体心律。</w:t>
      </w:r>
    </w:p>
    <w:p>
      <w:bookmarkStart w:id="1005" w:name="s1005"/>
      <w:pPr>
        <w:pStyle w:val="Heading1"/>
      </w:pPr>
      <w:r>
        <w:t>4 呼吸困难</w:t>
      </w:r>
      <w:bookmarkEnd w:id="1005"/>
    </w:p>
    <w:p>
      <w:r>
        <w:rPr>
          <w:b/>
        </w:rPr>
        <w:t>采集与分析：</w:t>
      </w:r>
      <w:r>
        <w:t>静息或活动诱发、端坐与夜间阵发、枕数及睡眠、活动阈值、咳痰喘息、氧疗条件与低氧。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患者〈呼吸困难的真实经过、程度、伴随表现和诊疗反应〉。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不能从气促单独判定心衰或NYHA；低氧必须记录测量条件。</w:t>
      </w:r>
    </w:p>
    <w:p>
      <w:bookmarkStart w:id="1006" w:name="s1006"/>
      <w:pPr>
        <w:pStyle w:val="Heading1"/>
      </w:pPr>
      <w:r>
        <w:t>5 晕厥</w:t>
      </w:r>
      <w:bookmarkEnd w:id="1006"/>
    </w:p>
    <w:p>
      <w:r>
        <w:rPr>
          <w:b/>
        </w:rPr>
        <w:t>采集与分析：</w:t>
      </w:r>
      <w:r>
        <w:t>体位、劳力或情绪诱因、前驱、意识丧失时长、目击者描述、恢复速度、外伤、抽搐及失禁、胸痛心悸与猝死家族史。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患者〈晕厥的真实经过、程度、伴随表现和诊疗反应〉。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晕厥与癫痫、低血糖和跌倒区分；不能把持续意识障碍写晕厥。</w:t>
      </w:r>
    </w:p>
    <w:p>
      <w:bookmarkStart w:id="1007" w:name="s1007"/>
      <w:pPr>
        <w:pStyle w:val="Heading1"/>
      </w:pPr>
      <w:r>
        <w:t>6 水肿</w:t>
      </w:r>
      <w:bookmarkEnd w:id="1007"/>
    </w:p>
    <w:p>
      <w:r>
        <w:rPr>
          <w:b/>
        </w:rPr>
        <w:t>采集与分析：</w:t>
      </w:r>
      <w:r>
        <w:t>部位、对称、凹陷、晨晚差异、进展、体重、尿量、肝肾病及药物关联。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患者〈水肿的真实经过、程度、伴随表现和诊疗反应〉。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单侧肿胀需评估静脉血栓等；不把所有水肿归因心衰。</w:t>
      </w:r>
    </w:p>
    <w:p>
      <w:bookmarkStart w:id="1008" w:name="s1008"/>
      <w:pPr>
        <w:pStyle w:val="Heading1"/>
      </w:pPr>
      <w:r>
        <w:t>7 端坐呼吸</w:t>
      </w:r>
      <w:bookmarkEnd w:id="1008"/>
    </w:p>
    <w:p>
      <w:r>
        <w:rPr>
          <w:b/>
        </w:rPr>
        <w:t>采集与分析：</w:t>
      </w:r>
      <w:r>
        <w:t>卧位能否耐受、枕高、坐位缓解、起病与氧疗；与其他气促模式分开。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患者〈端坐呼吸的真实经过、程度、伴随表现和诊疗反应〉。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未问及不能写无端坐呼吸。</w:t>
      </w:r>
    </w:p>
    <w:p>
      <w:bookmarkStart w:id="1009" w:name="s1009"/>
      <w:pPr>
        <w:pStyle w:val="Heading1"/>
      </w:pPr>
      <w:r>
        <w:t>8 夜间阵发性呼吸困难</w:t>
      </w:r>
      <w:bookmarkEnd w:id="1009"/>
    </w:p>
    <w:p>
      <w:r>
        <w:rPr>
          <w:b/>
        </w:rPr>
        <w:t>采集与分析：</w:t>
      </w:r>
      <w:r>
        <w:t>入睡后发作、醒后表现、坐起缓解、伴咳喘及睡眠呼吸暂停线索。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患者〈夜间阵发性呼吸困难的真实经过、程度、伴随表现和诊疗反应〉。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不能把所有夜间憋醒归为左心衰。</w:t>
      </w:r>
    </w:p>
    <w:p>
      <w:bookmarkStart w:id="1010" w:name="s1010"/>
      <w:pPr>
        <w:pStyle w:val="Heading1"/>
      </w:pPr>
      <w:r>
        <w:t>9 黑矇与运动耐量下降</w:t>
      </w:r>
      <w:bookmarkEnd w:id="1010"/>
    </w:p>
    <w:p>
      <w:r>
        <w:rPr>
          <w:b/>
        </w:rPr>
        <w:t>采集与分析：</w:t>
      </w:r>
      <w:r>
        <w:t>黑矇是否伴意识丧失，活动类型阈值、持续与恢复，贫血肺病肌骨限制。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患者〈黑矇与运动耐量下降的真实经过、程度、伴随表现和诊疗反应〉。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不能仅凭乏力赋NYHA。</w:t>
      </w:r>
    </w:p>
    <w:p>
      <w:bookmarkStart w:id="1011" w:name="s1011"/>
      <w:pPr>
        <w:pStyle w:val="Heading1"/>
      </w:pPr>
      <w:r>
        <w:t>10 心血管危险因素</w:t>
      </w:r>
      <w:bookmarkEnd w:id="1011"/>
    </w:p>
    <w:p>
      <w:r>
        <w:rPr>
          <w:b/>
        </w:rPr>
        <w:t>采集与分析：</w:t>
      </w:r>
      <w:r>
        <w:t>既往血压糖脂证据、体重烟酒、早发家族史、睡眠及活动。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患者〈心血管危险因素的真实经过、程度、伴随表现和诊疗反应〉。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一次异常不自动确诊慢性病。</w:t>
      </w:r>
    </w:p>
    <w:p>
      <w:bookmarkStart w:id="1012" w:name="s1012"/>
      <w:pPr>
        <w:pStyle w:val="Heading1"/>
      </w:pPr>
      <w:r>
        <w:t>11 既往心肌梗死</w:t>
      </w:r>
      <w:bookmarkEnd w:id="1012"/>
    </w:p>
    <w:p>
      <w:r>
        <w:rPr>
          <w:b/>
        </w:rPr>
        <w:t>采集与分析：</w:t>
      </w:r>
      <w:r>
        <w:t>原诊断、部位分型证据、再灌注方式、残余病变和心室功能。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患者〈既往心肌梗死的真实经过、程度、伴随表现和诊疗反应〉。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不能从自述心脏病推断梗死。</w:t>
      </w:r>
    </w:p>
    <w:p>
      <w:bookmarkStart w:id="1013" w:name="s1013"/>
      <w:pPr>
        <w:pStyle w:val="Heading1"/>
      </w:pPr>
      <w:r>
        <w:t>12 既往PCI和心脏手术</w:t>
      </w:r>
      <w:bookmarkEnd w:id="1013"/>
    </w:p>
    <w:p>
      <w:r>
        <w:rPr>
          <w:b/>
        </w:rPr>
        <w:t>采集与分析：</w:t>
      </w:r>
      <w:r>
        <w:t>原操作日期、入路、血管器材和并发症，术后用药及复诊；日期留来源账本。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患者〈既往PCI和心脏手术的真实经过、程度、伴随表现和诊疗反应〉。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未知支架型号数量不估算。</w:t>
      </w:r>
    </w:p>
    <w:p>
      <w:bookmarkStart w:id="1014" w:name="s1014"/>
      <w:pPr>
        <w:pStyle w:val="Heading1"/>
      </w:pPr>
      <w:r>
        <w:t>13 起搏器及其他心脏器械史</w:t>
      </w:r>
      <w:bookmarkEnd w:id="1014"/>
    </w:p>
    <w:p>
      <w:r>
        <w:rPr>
          <w:b/>
        </w:rPr>
        <w:t>采集与分析：</w:t>
      </w:r>
      <w:r>
        <w:t>类型、植入原因、原记录、程控、电击和感染；监护非永久器械。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患者〈起搏器及其他心脏器械史的真实经过、程度、伴随表现和诊疗反应〉。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不能凭胸部瘢痕写ICD或CRT。</w:t>
      </w:r>
    </w:p>
    <w:p>
      <w:bookmarkStart w:id="1015" w:name="s1015"/>
      <w:pPr>
        <w:pStyle w:val="Heading1"/>
      </w:pPr>
      <w:r>
        <w:t>14 抗凝与抗血小板史</w:t>
      </w:r>
      <w:bookmarkEnd w:id="1015"/>
    </w:p>
    <w:p>
      <w:r>
        <w:rPr>
          <w:b/>
        </w:rPr>
        <w:t>采集与分析：</w:t>
      </w:r>
      <w:r>
        <w:t>适应证、名称剂量频次、末次使用、依从、中断恢复、出血和肝肾功能。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患者〈抗凝与抗血小板史的真实经过、程度、伴随表现和诊疗反应〉。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长期处方不等于今日已服用。</w:t>
      </w:r>
    </w:p>
    <w:p>
      <w:bookmarkStart w:id="1016" w:name="s1016"/>
      <w:pPr>
        <w:pStyle w:val="Heading1"/>
      </w:pPr>
      <w:r>
        <w:t>15 心脏手术与围术期史</w:t>
      </w:r>
      <w:bookmarkEnd w:id="1016"/>
    </w:p>
    <w:p>
      <w:r>
        <w:rPr>
          <w:b/>
        </w:rPr>
        <w:t>采集与分析：</w:t>
      </w:r>
      <w:r>
        <w:t>实际术式、人工瓣性质、手术并发症、输血感染及长期抗栓。</w:t>
      </w:r>
    </w:p>
    <w:p>
      <w:pPr>
        <w:pStyle w:val="Meta"/>
      </w:pPr>
      <w:r>
        <w:t>〈实际日期时间〉 病史相关栏目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患者〈心脏手术与围术期史的真实经过、程度、伴随表现和诊疗反应〉。</w:t>
      </w:r>
    </w:p>
    <w:p>
      <w:pPr>
        <w:pStyle w:val="Code"/>
      </w:pPr>
      <w:r>
        <w:t>```</w:t>
      </w:r>
    </w:p>
    <w:p>
      <w:r>
        <w:rPr>
          <w:b/>
        </w:rPr>
        <w:t>错误与核对：</w:t>
      </w:r>
      <w:r>
        <w:t>拟手术和已手术不能混写。</w:t>
      </w:r>
    </w:p>
    <w:p>
      <w:bookmarkStart w:id="1017" w:name="s1017"/>
      <w:pPr>
        <w:pStyle w:val="Heading1"/>
      </w:pPr>
      <w:r>
        <w:t>心血管专科检查的十六步顺序</w:t>
      </w:r>
      <w:bookmarkEnd w:id="1017"/>
    </w:p>
    <w:p>
      <w:r>
        <w:rPr>
          <w:b/>
        </w:rPr>
        <w:t>1 意识和循环：</w:t>
      </w:r>
      <w:r>
        <w:t>实际意识、急性痛苦、低灌注及支持需求；标记已查/未查/无法评价，只有已查结果可进入确定性正文。</w:t>
      </w:r>
    </w:p>
    <w:p>
      <w:r>
        <w:rPr>
          <w:b/>
        </w:rPr>
        <w:t>2 生命体征：</w:t>
      </w:r>
      <w:r>
        <w:t>体温呼吸心率血压SpO₂、体位侧别与氧疗；标记已查/未查/无法评价，只有已查结果可进入确定性正文。</w:t>
      </w:r>
    </w:p>
    <w:p>
      <w:r>
        <w:rPr>
          <w:b/>
        </w:rPr>
        <w:t>3 皮肤末梢灌注：</w:t>
      </w:r>
      <w:r>
        <w:t>肤色皮温毛细血管再充盈及肢体感觉运动；标记已查/未查/无法评价，只有已查结果可进入确定性正文。</w:t>
      </w:r>
    </w:p>
    <w:p>
      <w:r>
        <w:rPr>
          <w:b/>
        </w:rPr>
        <w:t>4 颈静脉：</w:t>
      </w:r>
      <w:r>
        <w:t>体位及充盈高度，未评估不写阴性；标记已查/未查/无法评价，只有已查结果可进入确定性正文。</w:t>
      </w:r>
    </w:p>
    <w:p>
      <w:r>
        <w:rPr>
          <w:b/>
        </w:rPr>
        <w:t>5 心前区：</w:t>
      </w:r>
      <w:r>
        <w:t>隆起、异常搏动及手术或装置痕迹；标记已查/未查/无法评价，只有已查结果可进入确定性正文。</w:t>
      </w:r>
    </w:p>
    <w:p>
      <w:r>
        <w:rPr>
          <w:b/>
        </w:rPr>
        <w:t>6 心尖搏动：</w:t>
      </w:r>
      <w:r>
        <w:t>位置范围强度及触诊结果；标记已查/未查/无法评价，只有已查结果可进入确定性正文。</w:t>
      </w:r>
    </w:p>
    <w:p>
      <w:r>
        <w:rPr>
          <w:b/>
        </w:rPr>
        <w:t>7 心率心律：</w:t>
      </w:r>
      <w:r>
        <w:t>实测心率与脉率、规则性及短绌；标记已查/未查/无法评价，只有已查结果可进入确定性正文。</w:t>
      </w:r>
    </w:p>
    <w:p>
      <w:r>
        <w:rPr>
          <w:b/>
        </w:rPr>
        <w:t>8 心音：</w:t>
      </w:r>
      <w:r>
        <w:t>S1/S2及实际额外心音；标记已查/未查/无法评价，只有已查结果可进入确定性正文。</w:t>
      </w:r>
    </w:p>
    <w:p>
      <w:r>
        <w:rPr>
          <w:b/>
        </w:rPr>
        <w:t>9 心脏杂音：</w:t>
      </w:r>
      <w:r>
        <w:t>时相部位强度传导与呼吸体位变化；标记已查/未查/无法评价，只有已查结果可进入确定性正文。</w:t>
      </w:r>
    </w:p>
    <w:p>
      <w:r>
        <w:rPr>
          <w:b/>
        </w:rPr>
        <w:t>10 心包摩擦音：</w:t>
      </w:r>
      <w:r>
        <w:t>真实听诊所见，不按病名补造；标记已查/未查/无法评价，只有已查结果可进入确定性正文。</w:t>
      </w:r>
    </w:p>
    <w:p>
      <w:r>
        <w:rPr>
          <w:b/>
        </w:rPr>
        <w:t>11 肺部啰音：</w:t>
      </w:r>
      <w:r>
        <w:t>双侧部位范围、呼吸音及相关体征；标记已查/未查/无法评价，只有已查结果可进入确定性正文。</w:t>
      </w:r>
    </w:p>
    <w:p>
      <w:r>
        <w:rPr>
          <w:b/>
        </w:rPr>
        <w:t>12 肝颈静脉回流征：</w:t>
      </w:r>
      <w:r>
        <w:t>实际实施条件及结果；标记已查/未查/无法评价，只有已查结果可进入确定性正文。</w:t>
      </w:r>
    </w:p>
    <w:p>
      <w:r>
        <w:rPr>
          <w:b/>
        </w:rPr>
        <w:t>13 肝大与腹水：</w:t>
      </w:r>
      <w:r>
        <w:t>实际腹部查体、淤血线索；标记已查/未查/无法评价，只有已查结果可进入确定性正文。</w:t>
      </w:r>
    </w:p>
    <w:p>
      <w:r>
        <w:rPr>
          <w:b/>
        </w:rPr>
        <w:t>14 下肢水肿：</w:t>
      </w:r>
      <w:r>
        <w:t>对称、范围、凹陷和皮肤情况；标记已查/未查/无法评价，只有已查结果可进入确定性正文。</w:t>
      </w:r>
    </w:p>
    <w:p>
      <w:r>
        <w:rPr>
          <w:b/>
        </w:rPr>
        <w:t>15 外周动脉：</w:t>
      </w:r>
      <w:r>
        <w:t>双侧搏动、皮温、灌注及血管杂音；标记已查/未查/无法评价，只有已查结果可进入确定性正文。</w:t>
      </w:r>
    </w:p>
    <w:p>
      <w:r>
        <w:rPr>
          <w:b/>
        </w:rPr>
        <w:t>16 疾病特异体征：</w:t>
      </w:r>
      <w:r>
        <w:t>主动脉病脉搏差、介入穿刺或囊袋等实际检查；标记已查/未查/无法评价，只有已查结果可进入确定性正文。</w:t>
      </w:r>
    </w:p>
    <w:p>
      <w:pPr>
        <w:pStyle w:val="Meta"/>
      </w:pPr>
      <w:r>
        <w:t>〈实际日期时间〉 心血管专科检查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〈实际意识及循环状态〉，〈实测生命体征及测量条件〉，〈皮肤灌注及颈静脉实际所见〉，〈心前区及心尖搏动〉，〈实测心率心律、心音、杂音及摩擦音〉，〈实际肺部、肝颈静脉回流和腹部体征〉，〈下肢水肿与外周动脉检查结果〉。</w:t>
      </w:r>
    </w:p>
    <w:p>
      <w:pPr>
        <w:pStyle w:val="Code"/>
      </w:pPr>
      <w:r>
        <w:t>```</w:t>
      </w:r>
    </w:p>
    <w:p>
      <w:bookmarkStart w:id="1018" w:name="s1018"/>
      <w:pPr>
        <w:pStyle w:val="Heading1"/>
      </w:pPr>
      <w:r>
        <w:t>典型应用与模块协作</w:t>
      </w:r>
      <w:bookmarkEnd w:id="1018"/>
    </w:p>
    <w:p>
      <w:r>
        <w:t>由11匹配当前患者和目标时点后调用本模块；患者有多疾病时按主导风险联合专病。本文输出只使用已核实资料，07区分知识、计划和执行，10终审。</w:t>
      </w:r>
    </w:p>
    <w:p>
      <w:r>
        <w:rPr>
          <w:b/>
        </w:rPr>
        <w:t>禁止事项：</w:t>
      </w:r>
      <w:r>
        <w:t>不预填正常系统查体，不批量否认病史，不跨日复制当前体征。</w:t>
      </w:r>
    </w:p>
    <w:p>
      <w:r>
        <w:rPr>
          <w:b/>
        </w:rPr>
        <w:t>质量控制标准：</w:t>
      </w:r>
      <w:r>
        <w:t>入院完整系统查体与首次或日常重点查体区分；每项阳性阴性有来源。</w:t>
      </w:r>
    </w:p>
    <w:p>
      <w:bookmarkStart w:id="1019" w:name="s1019"/>
      <w:pPr>
        <w:pStyle w:val="Heading1"/>
      </w:pPr>
      <w:r>
        <w:t>指南证据来源与版本更新</w:t>
      </w:r>
      <w:bookmarkEnd w:id="1019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H1 中国心力衰竭诊断和治疗指南2024</w:t>
      </w:r>
    </w:p>
    <w:p>
      <w:r>
        <w:t>发布机构：中华医学会心血管病学分会、中国医师协会心血管内科医师分会、中国医师协会心力衰竭专业委员会、中华心血管病杂志编辑委员会。年份版本：2024。适用人群：成人急慢性心衰。</w:t>
      </w:r>
    </w:p>
    <w:p>
      <w:r>
        <w:t>本模块对应证据：心衰定义、容量评估、分型与治疗框架。核验范围：学会官网正文上下篇可读取核对。实际核验日期：2026-10-25。</w:t>
      </w:r>
    </w:p>
    <w:p>
      <w:r>
        <w:t>官方链接或DOI：https://csc.cma.org.cn/art/2024/4/18/art_619_56220.html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03心内科病史采集与心血管专科检查模板库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