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心内科检验影像心电及特殊检查结果分析模板库</w:t>
      </w:r>
    </w:p>
    <w:p>
      <w:r>
        <w:t>文件名称：04心内科检验影像心电及特殊检查结果分析模板库.docx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23类检查及序列趋势的原文整理和临床分析。</w:t>
      </w:r>
    </w:p>
    <w:p>
      <w:r>
        <w:rPr>
          <w:b/>
        </w:rPr>
        <w:t>调用条件：</w:t>
      </w:r>
      <w:r>
        <w:t>检验影像心电报告整理、分析及病程引用。</w:t>
      </w:r>
    </w:p>
    <w:p>
      <w:r>
        <w:rPr>
          <w:b/>
        </w:rPr>
        <w:t>所需患者资料：</w:t>
      </w:r>
      <w:r>
        <w:t>患者标识、原报告图像、方法原值单位参考、采集回报及可知时点。</w:t>
      </w:r>
    </w:p>
    <w:p>
      <w:r>
        <w:rPr>
          <w:b/>
        </w:rPr>
        <w:t>医学分析流程：</w:t>
      </w:r>
      <w:r>
        <w:t>原文保护→可比性→结果意义鉴别风险→下一步→10。</w:t>
      </w:r>
    </w:p>
    <w:p>
      <w:r>
        <w:rPr>
          <w:b/>
        </w:rPr>
        <w:t>模块关系：</w:t>
      </w:r>
      <w:r>
        <w:t>11过滤未来结果，03提供症状体征，专病协同。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两种不可混用的工作模式</w:t>
        </w:r>
      </w:hyperlink>
    </w:p>
    <w:p>
      <w:pPr>
        <w:spacing w:after="0" w:line="240" w:lineRule="exact"/>
        <w:snapToGrid w:val="0"/>
      </w:pPr>
      <w:hyperlink w:anchor="s1002">
        <w:r>
          <w:t>1 常规12导联心电图</w:t>
        </w:r>
      </w:hyperlink>
    </w:p>
    <w:p>
      <w:pPr>
        <w:spacing w:after="0" w:line="240" w:lineRule="exact"/>
        <w:snapToGrid w:val="0"/>
      </w:pPr>
      <w:hyperlink w:anchor="s1003">
        <w:r>
          <w:t>2 动态心电图</w:t>
        </w:r>
      </w:hyperlink>
    </w:p>
    <w:p>
      <w:pPr>
        <w:spacing w:after="0" w:line="240" w:lineRule="exact"/>
        <w:snapToGrid w:val="0"/>
      </w:pPr>
      <w:hyperlink w:anchor="s1004">
        <w:r>
          <w:t>3 动态血压</w:t>
        </w:r>
      </w:hyperlink>
    </w:p>
    <w:p>
      <w:pPr>
        <w:spacing w:after="0" w:line="240" w:lineRule="exact"/>
        <w:snapToGrid w:val="0"/>
      </w:pPr>
      <w:hyperlink w:anchor="s1005">
        <w:r>
          <w:t>4 心脏超声</w:t>
        </w:r>
      </w:hyperlink>
    </w:p>
    <w:p>
      <w:pPr>
        <w:spacing w:after="0" w:line="240" w:lineRule="exact"/>
        <w:snapToGrid w:val="0"/>
      </w:pPr>
      <w:hyperlink w:anchor="s1006">
        <w:r>
          <w:t>5 冠脉CTA</w:t>
        </w:r>
      </w:hyperlink>
    </w:p>
    <w:p>
      <w:pPr>
        <w:spacing w:after="0" w:line="240" w:lineRule="exact"/>
        <w:snapToGrid w:val="0"/>
      </w:pPr>
      <w:hyperlink w:anchor="s1007">
        <w:r>
          <w:t>6 冠脉造影</w:t>
        </w:r>
      </w:hyperlink>
    </w:p>
    <w:p>
      <w:pPr>
        <w:spacing w:after="0" w:line="240" w:lineRule="exact"/>
        <w:snapToGrid w:val="0"/>
      </w:pPr>
      <w:hyperlink w:anchor="s1008">
        <w:r>
          <w:t>7 胸部X线及CT</w:t>
        </w:r>
      </w:hyperlink>
    </w:p>
    <w:p>
      <w:pPr>
        <w:spacing w:after="0" w:line="240" w:lineRule="exact"/>
        <w:snapToGrid w:val="0"/>
      </w:pPr>
      <w:hyperlink w:anchor="s1009">
        <w:r>
          <w:t>8 肺动脉CTA</w:t>
        </w:r>
      </w:hyperlink>
    </w:p>
    <w:p>
      <w:pPr>
        <w:spacing w:after="0" w:line="240" w:lineRule="exact"/>
        <w:snapToGrid w:val="0"/>
      </w:pPr>
      <w:hyperlink w:anchor="s1010">
        <w:r>
          <w:t>9 主动脉CTA</w:t>
        </w:r>
      </w:hyperlink>
    </w:p>
    <w:p>
      <w:pPr>
        <w:spacing w:after="0" w:line="240" w:lineRule="exact"/>
        <w:snapToGrid w:val="0"/>
      </w:pPr>
      <w:hyperlink w:anchor="s1011">
        <w:r>
          <w:t>10 心脏磁共振</w:t>
        </w:r>
      </w:hyperlink>
    </w:p>
    <w:p>
      <w:pPr>
        <w:spacing w:after="0" w:line="240" w:lineRule="exact"/>
        <w:snapToGrid w:val="0"/>
      </w:pPr>
      <w:hyperlink w:anchor="s1012">
        <w:r>
          <w:t>11 心肌肌钙蛋白</w:t>
        </w:r>
      </w:hyperlink>
    </w:p>
    <w:p>
      <w:pPr>
        <w:spacing w:after="0" w:line="240" w:lineRule="exact"/>
        <w:snapToGrid w:val="0"/>
      </w:pPr>
      <w:hyperlink w:anchor="s1013">
        <w:r>
          <w:t>12 CK-MB及其他损伤标志物</w:t>
        </w:r>
      </w:hyperlink>
    </w:p>
    <w:p>
      <w:pPr>
        <w:spacing w:after="0" w:line="240" w:lineRule="exact"/>
        <w:snapToGrid w:val="0"/>
      </w:pPr>
      <w:hyperlink w:anchor="s1014">
        <w:r>
          <w:t>13 BNP和NT-proBNP</w:t>
        </w:r>
      </w:hyperlink>
    </w:p>
    <w:p>
      <w:pPr>
        <w:spacing w:after="0" w:line="240" w:lineRule="exact"/>
        <w:snapToGrid w:val="0"/>
      </w:pPr>
      <w:hyperlink w:anchor="s1015">
        <w:r>
          <w:t>14 血常规</w:t>
        </w:r>
      </w:hyperlink>
    </w:p>
    <w:p>
      <w:pPr>
        <w:spacing w:after="0" w:line="240" w:lineRule="exact"/>
        <w:snapToGrid w:val="0"/>
      </w:pPr>
      <w:hyperlink w:anchor="s1016">
        <w:r>
          <w:t>15 凝血功能</w:t>
        </w:r>
      </w:hyperlink>
    </w:p>
    <w:p>
      <w:pPr>
        <w:spacing w:after="0" w:line="240" w:lineRule="exact"/>
        <w:snapToGrid w:val="0"/>
      </w:pPr>
      <w:hyperlink w:anchor="s1017">
        <w:r>
          <w:t>16 D-二聚体</w:t>
        </w:r>
      </w:hyperlink>
    </w:p>
    <w:p>
      <w:pPr>
        <w:spacing w:after="0" w:line="240" w:lineRule="exact"/>
        <w:snapToGrid w:val="0"/>
      </w:pPr>
      <w:hyperlink w:anchor="s1018">
        <w:r>
          <w:t>17 肾功能</w:t>
        </w:r>
      </w:hyperlink>
    </w:p>
    <w:p>
      <w:pPr>
        <w:spacing w:after="0" w:line="240" w:lineRule="exact"/>
        <w:snapToGrid w:val="0"/>
      </w:pPr>
      <w:hyperlink w:anchor="s1019">
        <w:r>
          <w:t>18 电解质</w:t>
        </w:r>
      </w:hyperlink>
    </w:p>
    <w:p>
      <w:pPr>
        <w:spacing w:after="0" w:line="240" w:lineRule="exact"/>
        <w:snapToGrid w:val="0"/>
      </w:pPr>
      <w:hyperlink w:anchor="s1020">
        <w:r>
          <w:t>19 血脂</w:t>
        </w:r>
      </w:hyperlink>
    </w:p>
    <w:p>
      <w:pPr>
        <w:spacing w:after="0" w:line="240" w:lineRule="exact"/>
        <w:snapToGrid w:val="0"/>
      </w:pPr>
      <w:hyperlink w:anchor="s1021">
        <w:r>
          <w:t>20 血糖与糖化血红蛋白</w:t>
        </w:r>
      </w:hyperlink>
    </w:p>
    <w:p>
      <w:pPr>
        <w:spacing w:after="0" w:line="240" w:lineRule="exact"/>
        <w:snapToGrid w:val="0"/>
      </w:pPr>
      <w:hyperlink w:anchor="s1022">
        <w:r>
          <w:t>21 血气</w:t>
        </w:r>
      </w:hyperlink>
    </w:p>
    <w:p>
      <w:pPr>
        <w:spacing w:after="0" w:line="240" w:lineRule="exact"/>
        <w:snapToGrid w:val="0"/>
      </w:pPr>
      <w:hyperlink w:anchor="s1023">
        <w:r>
          <w:t>22 炎症与感染指标</w:t>
        </w:r>
      </w:hyperlink>
    </w:p>
    <w:p>
      <w:pPr>
        <w:spacing w:after="0" w:line="240" w:lineRule="exact"/>
        <w:snapToGrid w:val="0"/>
      </w:pPr>
      <w:hyperlink w:anchor="s1024">
        <w:r>
          <w:t>23 多次检查动态趋势</w:t>
        </w:r>
      </w:hyperlink>
    </w:p>
    <w:p>
      <w:pPr>
        <w:spacing w:after="0" w:line="240" w:lineRule="exact"/>
        <w:snapToGrid w:val="0"/>
      </w:pPr>
      <w:hyperlink w:anchor="s1025">
        <w:r>
          <w:t>心衰与评分的版本隔离</w:t>
        </w:r>
      </w:hyperlink>
    </w:p>
    <w:p>
      <w:pPr>
        <w:spacing w:after="0" w:line="240" w:lineRule="exact"/>
        <w:snapToGrid w:val="0"/>
      </w:pPr>
      <w:hyperlink w:anchor="s1026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27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两种不可混用的工作模式</w:t>
      </w:r>
      <w:bookmarkEnd w:id="1001"/>
    </w:p>
    <w:p>
      <w:r>
        <w:t>原始报告整理模式：完整保留所见、描述、结论、数字单位、原有临床日期及“考虑、提示、可能、不除外”等确定程度；仅可整理项目名和排版，模糊缺失先核实。临床分析不混进原报告。原始报告整理属于资料输出，不冒充新生成的正式病程。</w:t>
      </w:r>
    </w:p>
    <w:p>
      <w:r>
        <w:t>临床分析模式：提取实际结果、变化和可比条件，对应患者症状及诊断，说明价值、鉴别、风险和下一步；机器心电自动结论需人工核图。无原图只能分析报告，不能声称已经独立阅图。</w:t>
      </w:r>
    </w:p>
    <w:p>
      <w:bookmarkStart w:id="1002" w:name="s1002"/>
      <w:pPr>
        <w:pStyle w:val="Heading1"/>
      </w:pPr>
      <w:r>
        <w:t>1 常规12导联心电图</w:t>
      </w:r>
      <w:bookmarkEnd w:id="1002"/>
    </w:p>
    <w:p>
      <w:r>
        <w:rPr>
          <w:b/>
        </w:rPr>
        <w:t>适用与结果核对：</w:t>
      </w:r>
      <w:r>
        <w:t>确认走纸速度、增益、导联完整和伪差；按心率节律、P/PR、QRS、轴、电压、ST-T、QT/QTc及起搏心律核对。</w:t>
      </w:r>
    </w:p>
    <w:p>
      <w:r>
        <w:rPr>
          <w:b/>
        </w:rPr>
        <w:t>临床关系与鉴别：</w:t>
      </w:r>
      <w:r>
        <w:t>ST改变与导联分布、胸痛和既往图对照；不能凭单图声称动态演变；QTc注明校正方法、心率及宽QRS影响。</w:t>
      </w:r>
    </w:p>
    <w:p>
      <w:r>
        <w:rPr>
          <w:b/>
        </w:rPr>
        <w:t>风险及下一步：</w:t>
      </w:r>
      <w:r>
        <w:t>持续胸痛、ST异常、宽QRS心动过速、严重缓慢心律及长QT伴症状需即时临床复评；机器结论只作线索。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常规12导联心电图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3" w:name="s1003"/>
      <w:pPr>
        <w:pStyle w:val="Heading1"/>
      </w:pPr>
      <w:r>
        <w:t>2 动态心电图</w:t>
      </w:r>
      <w:bookmarkEnd w:id="1003"/>
    </w:p>
    <w:p>
      <w:r>
        <w:rPr>
          <w:b/>
        </w:rPr>
        <w:t>适用与结果核对：</w:t>
      </w:r>
      <w:r>
        <w:t>核对有效时长、总心搏、平均与极值心率、房室性早搏负荷、最长停搏、传导阻滞、房颤负荷及症状按钮对应。</w:t>
      </w:r>
    </w:p>
    <w:p>
      <w:r>
        <w:rPr>
          <w:b/>
        </w:rPr>
        <w:t>临床关系与鉴别：</w:t>
      </w:r>
      <w:r>
        <w:t>最慢心率可能睡眠相关；症状与心律需时点对应；片段伪差不得当室速或停搏。</w:t>
      </w:r>
    </w:p>
    <w:p>
      <w:r>
        <w:rPr>
          <w:b/>
        </w:rPr>
        <w:t>风险及下一步：</w:t>
      </w:r>
      <w:r>
        <w:t>高危晕厥而常规监测阴性时按发作频率选择延长监测，不能据阴性短程报告排除阵发事件。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〈动态心电图的已核实原值、单位、方法或原报告所见〉，〈与真实可比既往结果的差异〉。结合〈当日真实症状体征〉，考虑〈诊断意义和相关鉴别〉，目前〈个体风险〉，拟〈有明确目的的下一步评估〉。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4" w:name="s1004"/>
      <w:pPr>
        <w:pStyle w:val="Heading1"/>
      </w:pPr>
      <w:r>
        <w:t>3 动态血压</w:t>
      </w:r>
      <w:bookmarkEnd w:id="1004"/>
    </w:p>
    <w:p>
      <w:r>
        <w:rPr>
          <w:b/>
        </w:rPr>
        <w:t>适用与结果核对：</w:t>
      </w:r>
      <w:r>
        <w:t>核对有效读数比例、昼夜时间及睡眠日记、24小时和昼夜均值、夜间下降幅度与清晨变化。</w:t>
      </w:r>
    </w:p>
    <w:p>
      <w:r>
        <w:rPr>
          <w:b/>
        </w:rPr>
        <w:t>临床关系与鉴别：</w:t>
      </w:r>
      <w:r>
        <w:t>与诊室家庭值和用药时点对照，识别白大衣、隐匿性或夜间问题；诊断阈值必须注明测量方式及所采用指南。</w:t>
      </w:r>
    </w:p>
    <w:p>
      <w:r>
        <w:rPr>
          <w:b/>
        </w:rPr>
        <w:t>风险及下一步：</w:t>
      </w:r>
      <w:r>
        <w:t>读数不足或睡眠受扰时审慎解释，不以一条峰值给慢性等级。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〈动态血压的已核实原值、单位、方法或原报告所见〉，〈与真实可比既往结果的差异〉。结合〈当日真实症状体征〉，考虑〈诊断意义和相关鉴别〉，目前〈个体风险〉，拟〈有明确目的的下一步评估〉。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5" w:name="s1005"/>
      <w:pPr>
        <w:pStyle w:val="Heading1"/>
      </w:pPr>
      <w:r>
        <w:t>4 心脏超声</w:t>
      </w:r>
      <w:bookmarkEnd w:id="1005"/>
    </w:p>
    <w:p>
      <w:r>
        <w:rPr>
          <w:b/>
        </w:rPr>
        <w:t>适用与结果核对：</w:t>
      </w:r>
      <w:r>
        <w:t>核对图像质量、测量方法、房室大小、壁厚、节段运动、LVEF、舒张指标、右心、瓣膜和心包。</w:t>
      </w:r>
    </w:p>
    <w:p>
      <w:r>
        <w:rPr>
          <w:b/>
        </w:rPr>
        <w:t>临床关系与鉴别：</w:t>
      </w:r>
      <w:r>
        <w:t>LVEF是收缩指标，不等于NYHA；瓣膜严重度用多参数并考虑心率血压负荷条件；超声估测肺压不等于右心导管确诊。</w:t>
      </w:r>
    </w:p>
    <w:p>
      <w:r>
        <w:rPr>
          <w:b/>
        </w:rPr>
        <w:t>风险及下一步：</w:t>
      </w:r>
      <w:r>
        <w:t>新出现区域运动异常、严重瓣膜病、右心负荷或压塞征需临床对应并复核。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〈心脏超声的已核实原值、单位、方法或原报告所见〉，〈与真实可比既往结果的差异〉。结合〈当日真实症状体征〉，考虑〈诊断意义和相关鉴别〉，目前〈个体风险〉，拟〈有明确目的的下一步评估〉。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6" w:name="s1006"/>
      <w:pPr>
        <w:pStyle w:val="Heading1"/>
      </w:pPr>
      <w:r>
        <w:t>5 冠脉CTA</w:t>
      </w:r>
      <w:bookmarkEnd w:id="1006"/>
    </w:p>
    <w:p>
      <w:r>
        <w:rPr>
          <w:b/>
        </w:rPr>
        <w:t>适用与结果核对：</w:t>
      </w:r>
      <w:r>
        <w:t>记录血管、节段、斑块、狭窄原报告及图像局限；标记钙化、支架和运动伪影。</w:t>
      </w:r>
    </w:p>
    <w:p>
      <w:r>
        <w:rPr>
          <w:b/>
        </w:rPr>
        <w:t>临床关系与鉴别：</w:t>
      </w:r>
      <w:r>
        <w:t>解剖狭窄与缺血作用不完全相同；不可擅自把模糊描述换成精确百分比。</w:t>
      </w:r>
    </w:p>
    <w:p>
      <w:r>
        <w:rPr>
          <w:b/>
        </w:rPr>
        <w:t>风险及下一步：</w:t>
      </w:r>
      <w:r>
        <w:t>高危解剖或持续症状需结合功能及造影决策；核对对比剂过敏和肾功能。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〈冠脉CTA的已核实原值、单位、方法或原报告所见〉，〈与真实可比既往结果的差异〉。结合〈当日真实症状体征〉，考虑〈诊断意义和相关鉴别〉，目前〈个体风险〉，拟〈有明确目的的下一步评估〉。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7" w:name="s1007"/>
      <w:pPr>
        <w:pStyle w:val="Heading1"/>
      </w:pPr>
      <w:r>
        <w:t>6 冠脉造影</w:t>
      </w:r>
      <w:bookmarkEnd w:id="1007"/>
    </w:p>
    <w:p>
      <w:r>
        <w:rPr>
          <w:b/>
        </w:rPr>
        <w:t>适用与结果核对：</w:t>
      </w:r>
      <w:r>
        <w:t>逐血管节段记录开口、分叉、钙化、血栓、狭窄程度、TIMI血流、侧支及有无实际干预。</w:t>
      </w:r>
    </w:p>
    <w:p>
      <w:r>
        <w:rPr>
          <w:b/>
        </w:rPr>
        <w:t>临床关系与鉴别：</w:t>
      </w:r>
      <w:r>
        <w:t>造影与PCI分开；临界病变可根据实际功能或腔内影像评价，不能编造FFR/iFR/IVUS结果。</w:t>
      </w:r>
    </w:p>
    <w:p>
      <w:r>
        <w:rPr>
          <w:b/>
        </w:rPr>
        <w:t>风险及下一步：</w:t>
      </w:r>
      <w:r>
        <w:t>左主干、多支病变、慢性闭塞及无复流等需个体化策略，核对造影剂量与术后风险。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〈冠脉造影的已核实原值、单位、方法或原报告所见〉，〈与真实可比既往结果的差异〉。结合〈当日真实症状体征〉，考虑〈诊断意义和相关鉴别〉，目前〈个体风险〉，拟〈有明确目的的下一步评估〉。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8" w:name="s1008"/>
      <w:pPr>
        <w:pStyle w:val="Heading1"/>
      </w:pPr>
      <w:r>
        <w:t>7 胸部X线及CT</w:t>
      </w:r>
      <w:bookmarkEnd w:id="1008"/>
    </w:p>
    <w:p>
      <w:r>
        <w:rPr>
          <w:b/>
        </w:rPr>
        <w:t>适用与结果核对：</w:t>
      </w:r>
      <w:r>
        <w:t>分别核对肺实质、胸膜、主动脉或肺动脉的实际扫描覆盖与增强时相。</w:t>
      </w:r>
    </w:p>
    <w:p>
      <w:r>
        <w:rPr>
          <w:b/>
        </w:rPr>
        <w:t>临床关系与鉴别：</w:t>
      </w:r>
      <w:r>
        <w:t>普通胸CT不能替代肺动脉CTA排除肺栓塞；肺动脉充盈缺损需核对图像质量及急慢性线索。</w:t>
      </w:r>
    </w:p>
    <w:p>
      <w:r>
        <w:rPr>
          <w:b/>
        </w:rPr>
        <w:t>风险及下一步：</w:t>
      </w:r>
      <w:r>
        <w:t>报告疑似夹层、肺栓塞、严重感染或肺水肿时按病情分诊，避免仅作影像名词罗列。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〈胸部X线及CT的已核实原值、单位、方法或原报告所见〉，〈与真实可比既往结果的差异〉。结合〈当日真实症状体征〉，考虑〈诊断意义和相关鉴别〉，目前〈个体风险〉，拟〈有明确目的的下一步评估〉。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09" w:name="s1009"/>
      <w:pPr>
        <w:pStyle w:val="Heading1"/>
      </w:pPr>
      <w:r>
        <w:t>8 肺动脉CTA</w:t>
      </w:r>
      <w:bookmarkEnd w:id="1009"/>
    </w:p>
    <w:p>
      <w:r>
        <w:rPr>
          <w:b/>
        </w:rPr>
        <w:t>适用与结果核对：</w:t>
      </w:r>
      <w:r>
        <w:t>分别核对肺实质、胸膜、主动脉或肺动脉的实际扫描覆盖与增强时相。</w:t>
      </w:r>
    </w:p>
    <w:p>
      <w:r>
        <w:rPr>
          <w:b/>
        </w:rPr>
        <w:t>临床关系与鉴别：</w:t>
      </w:r>
      <w:r>
        <w:t>普通胸CT不能替代肺动脉CTA排除肺栓塞；肺动脉充盈缺损需核对图像质量及急慢性线索。</w:t>
      </w:r>
    </w:p>
    <w:p>
      <w:r>
        <w:rPr>
          <w:b/>
        </w:rPr>
        <w:t>风险及下一步：</w:t>
      </w:r>
      <w:r>
        <w:t>报告疑似夹层、肺栓塞、严重感染或肺水肿时按病情分诊，避免仅作影像名词罗列。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〈肺动脉CTA的已核实原值、单位、方法或原报告所见〉，〈与真实可比既往结果的差异〉。结合〈当日真实症状体征〉，考虑〈诊断意义和相关鉴别〉，目前〈个体风险〉，拟〈有明确目的的下一步评估〉。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0" w:name="s1010"/>
      <w:pPr>
        <w:pStyle w:val="Heading1"/>
      </w:pPr>
      <w:r>
        <w:t>9 主动脉CTA</w:t>
      </w:r>
      <w:bookmarkEnd w:id="1010"/>
    </w:p>
    <w:p>
      <w:r>
        <w:rPr>
          <w:b/>
        </w:rPr>
        <w:t>适用与结果核对：</w:t>
      </w:r>
      <w:r>
        <w:t>原始解剖节段、夹层或血肿、裂口范围、直径、分支灌注、破裂征与增强时相。</w:t>
      </w:r>
    </w:p>
    <w:p>
      <w:r>
        <w:rPr>
          <w:b/>
        </w:rPr>
        <w:t>临床关系与鉴别：</w:t>
      </w:r>
      <w:r>
        <w:t>Stanford类型及复杂性需影像和临床匹配，不从冠脉CTA未显示的范围推断主动脉正常。</w:t>
      </w:r>
    </w:p>
    <w:p>
      <w:r>
        <w:rPr>
          <w:b/>
        </w:rPr>
        <w:t>风险及下一步：</w:t>
      </w:r>
      <w:r>
        <w:t>疑似A型、破裂、压塞或器官灌注异常及时专科与106/108分流。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〈主动脉CTA的已核实原值、单位、方法或原报告所见〉，〈与真实可比既往结果的差异〉。结合〈当日真实症状体征〉，考虑〈诊断意义和相关鉴别〉，目前〈个体风险〉，拟〈有明确目的的下一步评估〉。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1" w:name="s1011"/>
      <w:pPr>
        <w:pStyle w:val="Heading1"/>
      </w:pPr>
      <w:r>
        <w:t>10 心脏磁共振</w:t>
      </w:r>
      <w:bookmarkEnd w:id="1011"/>
    </w:p>
    <w:p>
      <w:r>
        <w:rPr>
          <w:b/>
        </w:rPr>
        <w:t>适用与结果核对：</w:t>
      </w:r>
      <w:r>
        <w:t>记录形态、双心室容量功能、水肿、T1/T2、LGE分布及实际序列质量。</w:t>
      </w:r>
    </w:p>
    <w:p>
      <w:r>
        <w:rPr>
          <w:b/>
        </w:rPr>
        <w:t>临床关系与鉴别：</w:t>
      </w:r>
      <w:r>
        <w:t>缺血性与非缺血性分布帮助病因判断，但单一LGE不能独立给出全部病因；心肌炎需临床相符。</w:t>
      </w:r>
    </w:p>
    <w:p>
      <w:r>
        <w:rPr>
          <w:b/>
        </w:rPr>
        <w:t>风险及下一步：</w:t>
      </w:r>
      <w:r>
        <w:t>核对装置兼容性、肾功能及对比剂条件；高危心肌炎或室性心律失常需及时策略评估。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〈心脏磁共振的已核实原值、单位、方法或原报告所见〉，〈与真实可比既往结果的差异〉。结合〈当日真实症状体征〉，考虑〈诊断意义和相关鉴别〉，目前〈个体风险〉，拟〈有明确目的的下一步评估〉。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2" w:name="s1012"/>
      <w:pPr>
        <w:pStyle w:val="Heading1"/>
      </w:pPr>
      <w:r>
        <w:t>11 心肌肌钙蛋白</w:t>
      </w:r>
      <w:bookmarkEnd w:id="1012"/>
    </w:p>
    <w:p>
      <w:r>
        <w:rPr>
          <w:b/>
        </w:rPr>
        <w:t>适用与结果核对：</w:t>
      </w:r>
      <w:r>
        <w:t>明确cTnI/T及高敏方法、性别适用99百分位上限、原单位与真实序列；CK-MB列检测方式。</w:t>
      </w:r>
    </w:p>
    <w:p>
      <w:r>
        <w:rPr>
          <w:b/>
        </w:rPr>
        <w:t>临床关系与鉴别：</w:t>
      </w:r>
      <w:r>
        <w:t>动态升降提示急性损伤；缺血证据决定是否符合梗死。肾病、心衰、快速心律、心肌炎及肺栓塞均可升高；MI分型注明2026或历史版本。</w:t>
      </w:r>
    </w:p>
    <w:p>
      <w:r>
        <w:rPr>
          <w:b/>
        </w:rPr>
        <w:t>风险及下一步：</w:t>
      </w:r>
      <w:r>
        <w:t>过早阴性不能单独排除ACS；复查方案依验证的本院检验路径，不能编造通用delta阈值。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〈心肌肌钙蛋白的已核实原值、单位、方法或原报告所见〉，〈与真实可比既往结果的差异〉。结合〈当日真实症状体征〉，考虑〈诊断意义和相关鉴别〉，目前〈个体风险〉，拟〈有明确目的的下一步评估〉。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3" w:name="s1013"/>
      <w:pPr>
        <w:pStyle w:val="Heading1"/>
      </w:pPr>
      <w:r>
        <w:t>12 CK-MB及其他损伤标志物</w:t>
      </w:r>
      <w:bookmarkEnd w:id="1013"/>
    </w:p>
    <w:p>
      <w:r>
        <w:rPr>
          <w:b/>
        </w:rPr>
        <w:t>适用与结果核对：</w:t>
      </w:r>
      <w:r>
        <w:t>明确cTnI/T及高敏方法、性别适用99百分位上限、原单位与真实序列；CK-MB列检测方式。</w:t>
      </w:r>
    </w:p>
    <w:p>
      <w:r>
        <w:rPr>
          <w:b/>
        </w:rPr>
        <w:t>临床关系与鉴别：</w:t>
      </w:r>
      <w:r>
        <w:t>动态升降提示急性损伤；缺血证据决定是否符合梗死。肾病、心衰、快速心律、心肌炎及肺栓塞均可升高；MI分型注明2026或历史版本。</w:t>
      </w:r>
    </w:p>
    <w:p>
      <w:r>
        <w:rPr>
          <w:b/>
        </w:rPr>
        <w:t>风险及下一步：</w:t>
      </w:r>
      <w:r>
        <w:t>过早阴性不能单独排除ACS；复查方案依验证的本院检验路径，不能编造通用delta阈值。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CK-MB及其他损伤标志物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4" w:name="s1014"/>
      <w:pPr>
        <w:pStyle w:val="Heading1"/>
      </w:pPr>
      <w:r>
        <w:t>13 BNP和NT-proBNP</w:t>
      </w:r>
      <w:bookmarkEnd w:id="1014"/>
    </w:p>
    <w:p>
      <w:r>
        <w:rPr>
          <w:b/>
        </w:rPr>
        <w:t>适用与结果核对：</w:t>
      </w:r>
      <w:r>
        <w:t>两者分别记录，不互换；注明年龄、肾功能、房颤、肥胖、采样及治疗背景。</w:t>
      </w:r>
    </w:p>
    <w:p>
      <w:r>
        <w:rPr>
          <w:b/>
        </w:rPr>
        <w:t>临床关系与鉴别：</w:t>
      </w:r>
      <w:r>
        <w:t>升高支持心脏负荷但非心衰特异；ARNI可影响BNP解释，NT-proBNP分析也应结合症状容量和肾功能。</w:t>
      </w:r>
    </w:p>
    <w:p>
      <w:r>
        <w:rPr>
          <w:b/>
        </w:rPr>
        <w:t>风险及下一步：</w:t>
      </w:r>
      <w:r>
        <w:t>不能仅凭单值决定利尿、出院或NYHA；趋势应对应体重、尿量、灌注及呼吸情况。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〈BNP和NT-proBNP的已核实原值、单位、方法或原报告所见〉，〈与真实可比既往结果的差异〉。结合〈当日真实症状体征〉，考虑〈诊断意义和相关鉴别〉，目前〈个体风险〉，拟〈有明确目的的下一步评估〉。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5" w:name="s1015"/>
      <w:pPr>
        <w:pStyle w:val="Heading1"/>
      </w:pPr>
      <w:r>
        <w:t>14 血常规</w:t>
      </w:r>
      <w:bookmarkEnd w:id="1015"/>
    </w:p>
    <w:p>
      <w:r>
        <w:rPr>
          <w:b/>
        </w:rPr>
        <w:t>适用与结果核对：</w:t>
      </w:r>
      <w:r>
        <w:t>血红蛋白、红细胞指数、白细胞分类及血小板，结合基线采样与补液输血。</w:t>
      </w:r>
    </w:p>
    <w:p>
      <w:r>
        <w:rPr>
          <w:b/>
        </w:rPr>
        <w:t>临床关系与鉴别：</w:t>
      </w:r>
      <w:r>
        <w:t>贫血、感染和药物影响分开；白细胞升高不独立诊断感染，血红蛋白降低结合出血或稀释。</w:t>
      </w:r>
    </w:p>
    <w:p>
      <w:r>
        <w:rPr>
          <w:b/>
        </w:rPr>
        <w:t>风险及下一步：</w:t>
      </w:r>
      <w:r>
        <w:t>抗栓患者注意出血、血小板下降与HIT等线索，危急结果形成闭环。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〈血常规的已核实原值、单位、方法或原报告所见〉，〈与真实可比既往结果的差异〉。结合〈当日真实症状体征〉，考虑〈诊断意义和相关鉴别〉，目前〈个体风险〉，拟〈有明确目的的下一步评估〉。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6" w:name="s1016"/>
      <w:pPr>
        <w:pStyle w:val="Heading1"/>
      </w:pPr>
      <w:r>
        <w:t>15 凝血功能</w:t>
      </w:r>
      <w:bookmarkEnd w:id="1016"/>
    </w:p>
    <w:p>
      <w:r>
        <w:rPr>
          <w:b/>
        </w:rPr>
        <w:t>适用与结果核对：</w:t>
      </w:r>
      <w:r>
        <w:t>记录FEU/DDU单位、检测方法、参考范围、PT/INR、APTT、纤维蛋白原、血小板及抗凝背景。</w:t>
      </w:r>
    </w:p>
    <w:p>
      <w:r>
        <w:rPr>
          <w:b/>
        </w:rPr>
        <w:t>临床关系与鉴别：</w:t>
      </w:r>
      <w:r>
        <w:t>D-二聚体用于适宜临床概率路径，不能单独确诊肺栓塞；年龄校正与单位需匹配；常规凝血正常不能证明DOAC无药效。</w:t>
      </w:r>
    </w:p>
    <w:p>
      <w:r>
        <w:rPr>
          <w:b/>
        </w:rPr>
        <w:t>风险及下一步：</w:t>
      </w:r>
      <w:r>
        <w:t>出血、血栓、DIC或HIT疑点时综合临床并复查，不据单项值自动停全部抗栓。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〈凝血功能的已核实原值、单位、方法或原报告所见〉，〈与真实可比既往结果的差异〉。结合〈当日真实症状体征〉，考虑〈诊断意义和相关鉴别〉，目前〈个体风险〉，拟〈有明确目的的下一步评估〉。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7" w:name="s1017"/>
      <w:pPr>
        <w:pStyle w:val="Heading1"/>
      </w:pPr>
      <w:r>
        <w:t>16 D-二聚体</w:t>
      </w:r>
      <w:bookmarkEnd w:id="1017"/>
    </w:p>
    <w:p>
      <w:r>
        <w:rPr>
          <w:b/>
        </w:rPr>
        <w:t>适用与结果核对：</w:t>
      </w:r>
      <w:r>
        <w:t>记录FEU/DDU单位、检测方法、参考范围、PT/INR、APTT、纤维蛋白原、血小板及抗凝背景。</w:t>
      </w:r>
    </w:p>
    <w:p>
      <w:r>
        <w:rPr>
          <w:b/>
        </w:rPr>
        <w:t>临床关系与鉴别：</w:t>
      </w:r>
      <w:r>
        <w:t>D-二聚体用于适宜临床概率路径，不能单独确诊肺栓塞；年龄校正与单位需匹配；常规凝血正常不能证明DOAC无药效。</w:t>
      </w:r>
    </w:p>
    <w:p>
      <w:r>
        <w:rPr>
          <w:b/>
        </w:rPr>
        <w:t>风险及下一步：</w:t>
      </w:r>
      <w:r>
        <w:t>出血、血栓、DIC或HIT疑点时综合临床并复查，不据单项值自动停全部抗栓。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〈D-二聚体的已核实原值、单位、方法或原报告所见〉，〈与真实可比既往结果的差异〉。结合〈当日真实症状体征〉，考虑〈诊断意义和相关鉴别〉，目前〈个体风险〉，拟〈有明确目的的下一步评估〉。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8" w:name="s1018"/>
      <w:pPr>
        <w:pStyle w:val="Heading1"/>
      </w:pPr>
      <w:r>
        <w:t>17 肾功能</w:t>
      </w:r>
      <w:bookmarkEnd w:id="1018"/>
    </w:p>
    <w:p>
      <w:r>
        <w:rPr>
          <w:b/>
        </w:rPr>
        <w:t>适用与结果核对：</w:t>
      </w:r>
      <w:r>
        <w:t>肌酐需单位及基线；区分eGFR与药物说明书要求的CrCl；记录钾钠镁钙及溶血。</w:t>
      </w:r>
    </w:p>
    <w:p>
      <w:r>
        <w:rPr>
          <w:b/>
        </w:rPr>
        <w:t>临床关系与鉴别：</w:t>
      </w:r>
      <w:r>
        <w:t>识别急性变化和药物、容量、低灌注、对比剂关联；肌酐小幅变化需结合去淤血效果，不一律归为药物禁忌。</w:t>
      </w:r>
    </w:p>
    <w:p>
      <w:r>
        <w:rPr>
          <w:b/>
        </w:rPr>
        <w:t>风险及下一步：</w:t>
      </w:r>
      <w:r>
        <w:t>高钾伴心电异常、严重低钾及快速肾功能恶化立即临床评估；剂量调整用对应药物标准。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〈肾功能的已核实原值、单位、方法或原报告所见〉，〈与真实可比既往结果的差异〉。结合〈当日真实症状体征〉，考虑〈诊断意义和相关鉴别〉，目前〈个体风险〉，拟〈有明确目的的下一步评估〉。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19" w:name="s1019"/>
      <w:pPr>
        <w:pStyle w:val="Heading1"/>
      </w:pPr>
      <w:r>
        <w:t>18 电解质</w:t>
      </w:r>
      <w:bookmarkEnd w:id="1019"/>
    </w:p>
    <w:p>
      <w:r>
        <w:rPr>
          <w:b/>
        </w:rPr>
        <w:t>适用与结果核对：</w:t>
      </w:r>
      <w:r>
        <w:t>肌酐需单位及基线；区分eGFR与药物说明书要求的CrCl；记录钾钠镁钙及溶血。</w:t>
      </w:r>
    </w:p>
    <w:p>
      <w:r>
        <w:rPr>
          <w:b/>
        </w:rPr>
        <w:t>临床关系与鉴别：</w:t>
      </w:r>
      <w:r>
        <w:t>识别急性变化和药物、容量、低灌注、对比剂关联；肌酐小幅变化需结合去淤血效果，不一律归为药物禁忌。</w:t>
      </w:r>
    </w:p>
    <w:p>
      <w:r>
        <w:rPr>
          <w:b/>
        </w:rPr>
        <w:t>风险及下一步：</w:t>
      </w:r>
      <w:r>
        <w:t>高钾伴心电异常、严重低钾及快速肾功能恶化立即临床评估；剂量调整用对应药物标准。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〈电解质的已核实原值、单位、方法或原报告所见〉，〈与真实可比既往结果的差异〉。结合〈当日真实症状体征〉，考虑〈诊断意义和相关鉴别〉，目前〈个体风险〉，拟〈有明确目的的下一步评估〉。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0" w:name="s1020"/>
      <w:pPr>
        <w:pStyle w:val="Heading1"/>
      </w:pPr>
      <w:r>
        <w:t>19 血脂</w:t>
      </w:r>
      <w:bookmarkEnd w:id="1020"/>
    </w:p>
    <w:p>
      <w:r>
        <w:rPr>
          <w:b/>
        </w:rPr>
        <w:t>适用与结果核对：</w:t>
      </w:r>
      <w:r>
        <w:t>记录LDL-C、甘油三酯、糖化血红蛋白及空腹状态；血气注明采样类型、吸氧参数、pH、PaO₂、PaCO₂、乳酸。</w:t>
      </w:r>
    </w:p>
    <w:p>
      <w:r>
        <w:rPr>
          <w:b/>
        </w:rPr>
        <w:t>临床关系与鉴别：</w:t>
      </w:r>
      <w:r>
        <w:t>调脂目标注明危险分层和指南版本；应激高血糖不单独确诊糖尿病；乳酸升高并非仅心源性低灌注。</w:t>
      </w:r>
    </w:p>
    <w:p>
      <w:r>
        <w:rPr>
          <w:b/>
        </w:rPr>
        <w:t>风险及下一步：</w:t>
      </w:r>
      <w:r>
        <w:t>氧合与通气、酸碱及组织灌注分别分析；不能把静脉氧分压当动脉氧合指标。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〈血脂的已核实原值、单位、方法或原报告所见〉，〈与真实可比既往结果的差异〉。结合〈当日真实症状体征〉，考虑〈诊断意义和相关鉴别〉，目前〈个体风险〉，拟〈有明确目的的下一步评估〉。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1" w:name="s1021"/>
      <w:pPr>
        <w:pStyle w:val="Heading1"/>
      </w:pPr>
      <w:r>
        <w:t>20 血糖与糖化血红蛋白</w:t>
      </w:r>
      <w:bookmarkEnd w:id="1021"/>
    </w:p>
    <w:p>
      <w:r>
        <w:rPr>
          <w:b/>
        </w:rPr>
        <w:t>适用与结果核对：</w:t>
      </w:r>
      <w:r>
        <w:t>记录LDL-C、甘油三酯、糖化血红蛋白及空腹状态；血气注明采样类型、吸氧参数、pH、PaO₂、PaCO₂、乳酸。</w:t>
      </w:r>
    </w:p>
    <w:p>
      <w:r>
        <w:rPr>
          <w:b/>
        </w:rPr>
        <w:t>临床关系与鉴别：</w:t>
      </w:r>
      <w:r>
        <w:t>调脂目标注明危险分层和指南版本；应激高血糖不单独确诊糖尿病；乳酸升高并非仅心源性低灌注。</w:t>
      </w:r>
    </w:p>
    <w:p>
      <w:r>
        <w:rPr>
          <w:b/>
        </w:rPr>
        <w:t>风险及下一步：</w:t>
      </w:r>
      <w:r>
        <w:t>氧合与通气、酸碱及组织灌注分别分析；不能把静脉氧分压当动脉氧合指标。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血糖与糖化血红蛋白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2" w:name="s1022"/>
      <w:pPr>
        <w:pStyle w:val="Heading1"/>
      </w:pPr>
      <w:r>
        <w:t>21 血气</w:t>
      </w:r>
      <w:bookmarkEnd w:id="1022"/>
    </w:p>
    <w:p>
      <w:r>
        <w:rPr>
          <w:b/>
        </w:rPr>
        <w:t>适用与结果核对：</w:t>
      </w:r>
      <w:r>
        <w:t>记录LDL-C、甘油三酯、糖化血红蛋白及空腹状态；血气注明采样类型、吸氧参数、pH、PaO₂、PaCO₂、乳酸。</w:t>
      </w:r>
    </w:p>
    <w:p>
      <w:r>
        <w:rPr>
          <w:b/>
        </w:rPr>
        <w:t>临床关系与鉴别：</w:t>
      </w:r>
      <w:r>
        <w:t>调脂目标注明危险分层和指南版本；应激高血糖不单独确诊糖尿病；乳酸升高并非仅心源性低灌注。</w:t>
      </w:r>
    </w:p>
    <w:p>
      <w:r>
        <w:rPr>
          <w:b/>
        </w:rPr>
        <w:t>风险及下一步：</w:t>
      </w:r>
      <w:r>
        <w:t>氧合与通气、酸碱及组织灌注分别分析；不能把静脉氧分压当动脉氧合指标。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〈血气的已核实原值、单位、方法或原报告所见〉，〈与真实可比既往结果的差异〉。结合〈当日真实症状体征〉，考虑〈诊断意义和相关鉴别〉，目前〈个体风险〉，拟〈有明确目的的下一步评估〉。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3" w:name="s1023"/>
      <w:pPr>
        <w:pStyle w:val="Heading1"/>
      </w:pPr>
      <w:r>
        <w:t>22 炎症与感染指标</w:t>
      </w:r>
      <w:bookmarkEnd w:id="1023"/>
    </w:p>
    <w:p>
      <w:r>
        <w:rPr>
          <w:b/>
        </w:rPr>
        <w:t>适用与结果核对：</w:t>
      </w:r>
      <w:r>
        <w:t>体温、白细胞、CRP/PCT、培养原文及抗菌药前后采样。</w:t>
      </w:r>
    </w:p>
    <w:p>
      <w:r>
        <w:rPr>
          <w:b/>
        </w:rPr>
        <w:t>临床关系与鉴别：</w:t>
      </w:r>
      <w:r>
        <w:t>心肌梗死、术后和非感染炎症也可升高；菌血症、污染和IE需结合证据。</w:t>
      </w:r>
    </w:p>
    <w:p>
      <w:r>
        <w:rPr>
          <w:b/>
        </w:rPr>
        <w:t>风险及下一步：</w:t>
      </w:r>
      <w:r>
        <w:t>病原学与器官功能支持相应病因评估，不根据单项开抗菌药。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炎症与感染指标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4" w:name="s1024"/>
      <w:pPr>
        <w:pStyle w:val="Heading1"/>
      </w:pPr>
      <w:r>
        <w:t>23 多次检查动态趋势</w:t>
      </w:r>
      <w:bookmarkEnd w:id="1024"/>
    </w:p>
    <w:p>
      <w:r>
        <w:rPr>
          <w:b/>
        </w:rPr>
        <w:t>适用与结果核对：</w:t>
      </w:r>
      <w:r>
        <w:t>按event_time与known_at排列，核对相同方法单位参考及检测条件。</w:t>
      </w:r>
    </w:p>
    <w:p>
      <w:r>
        <w:rPr>
          <w:b/>
        </w:rPr>
        <w:t>临床关系与鉴别：</w:t>
      </w:r>
      <w:r>
        <w:t>至少两项真实可比资料才谈变化；不同氧疗、体位、负荷和方法需说明限制。</w:t>
      </w:r>
    </w:p>
    <w:p>
      <w:r>
        <w:rPr>
          <w:b/>
        </w:rPr>
        <w:t>风险及下一步：</w:t>
      </w:r>
      <w:r>
        <w:t>目标时点之后才回报结果隔离；异常趋势写出风险、已处理和待复查。</w:t>
      </w:r>
    </w:p>
    <w:p>
      <w:pPr>
        <w:pStyle w:val="Meta"/>
      </w:pPr>
      <w:r>
        <w:t>〈实际日期时间〉 检查结果分析病程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多次检查动态趋势的已核实原值、单位、方法或原报告所见〉，〈与真实可比既往结果的差异〉。结合〈当日真实症状体征〉，考虑〈诊断意义和相关鉴别〉，目前〈个体风险〉，拟〈有明确目的的下一步评估〉。</w:t>
      </w:r>
    </w:p>
    <w:p>
      <w:pPr>
        <w:pStyle w:val="Code"/>
      </w:pPr>
      <w:r>
        <w:t>```</w:t>
      </w:r>
    </w:p>
    <w:p>
      <w:bookmarkStart w:id="1025" w:name="s1025"/>
      <w:pPr>
        <w:pStyle w:val="Heading1"/>
      </w:pPr>
      <w:r>
        <w:t>心衰与评分的版本隔离</w:t>
      </w:r>
      <w:bookmarkEnd w:id="1025"/>
    </w:p>
    <w:p>
      <w:r>
        <w:t>中国心衰2024与2026 ESC心衰分类不可混用；使用哪个版本即遵循其定义。风险工具的完整变量、版本和评估结局联07/10核对。不能从心电机器结论、LVEF、BNP或单次肌钙蛋白直接给出患者全部诊断。</w:t>
      </w:r>
    </w:p>
    <w:p>
      <w:bookmarkStart w:id="1026" w:name="s1026"/>
      <w:pPr>
        <w:pStyle w:val="Heading1"/>
      </w:pPr>
      <w:r>
        <w:t>典型应用与模块协作</w:t>
      </w:r>
      <w:bookmarkEnd w:id="1026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不改报告程度与数值，不造动态，不将普通CT替代肺动脉CTA，不使用未来回报。</w:t>
      </w:r>
    </w:p>
    <w:p>
      <w:r>
        <w:rPr>
          <w:b/>
        </w:rPr>
        <w:t>质量控制标准：</w:t>
      </w:r>
      <w:r>
        <w:t>23类均保留结果、意义、鉴别、风险和下一步，正式病程只用目标时点可知事实。</w:t>
      </w:r>
    </w:p>
    <w:p>
      <w:bookmarkStart w:id="1027" w:name="s1027"/>
      <w:pPr>
        <w:pStyle w:val="Heading1"/>
      </w:pPr>
      <w:r>
        <w:t>指南证据来源与版本更新</w:t>
      </w:r>
      <w:bookmarkEnd w:id="1027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C2 非ST段抬高型急性冠脉综合征诊断和治疗指南（2024）</w:t>
      </w:r>
    </w:p>
    <w:p>
      <w:r>
        <w:t>发布机构：中华医学会心血管病学分会、中华心血管病杂志编辑委员会。年份版本：2024；DOI 10.3760/cma.j.cn112148-20240107-00014。适用人群：成人NSTE-ACS。</w:t>
      </w:r>
    </w:p>
    <w:p>
      <w:r>
        <w:t>本模块对应证据：诊断、危险分层与介入策略。核验范围：学会原始PDF及出版记录核对。实际核验日期：2026-10-25。</w:t>
      </w:r>
    </w:p>
    <w:p>
      <w:r>
        <w:t>官方链接或DOI：https://csc.cma.org.cn/attach/0/46bfbba77f4249aebc2ae9b70eef5377.pdf</w:t>
      </w:r>
    </w:p>
    <w:p>
      <w:pPr>
        <w:pStyle w:val="Heading2"/>
      </w:pPr>
      <w:r>
        <w:t>MI5 Fifth Universal Definition of Myocardial Infarction (2026)</w:t>
      </w:r>
    </w:p>
    <w:p>
      <w:r>
        <w:t>发布机构：ESC、ACC、AHA、WHF。年份版本：2026；DOI 10.1093/eurheartj/ehag101。适用人群：疑似心肌损伤及心肌梗死患者。</w:t>
      </w:r>
    </w:p>
    <w:p>
      <w:r>
        <w:t>本模块对应证据：心肌损伤与缺血性梗死区分；病因分类版本更新。核验范围：官方发布与期刊可检索正文核对；操作相关细分阈值须逐条再查原文。实际核验日期：2026-10-25。</w:t>
      </w:r>
    </w:p>
    <w:p>
      <w:r>
        <w:t>官方链接或DOI：https://www.escardio.org/guidelines/clinical-practice-guidelines/all-esc-practice-guidelines/universal-definition-myocardial-infarction/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H2 2026 ESC Guidelines for the management of heart failure</w:t>
      </w:r>
    </w:p>
    <w:p>
      <w:r>
        <w:t>发布机构：ESC。年份版本：2026；DOI 10.1093/eurheartj/ehag100。适用人群：成人心衰。</w:t>
      </w:r>
    </w:p>
    <w:p>
      <w:r>
        <w:t>本模块对应证据：新版本更新入口；具体新增推荐及阈值需逐条核对。核验范围：官方入口、期刊出版及部分正文核对；未据此批量替换中国2024框架。实际核验日期：2026-10-25。</w:t>
      </w:r>
    </w:p>
    <w:p>
      <w:r>
        <w:t>官方链接或DOI：https://academic.oup.com/eurheartj/article/47/38/5346/8766302</w:t>
      </w:r>
    </w:p>
    <w:p>
      <w:pPr>
        <w:pStyle w:val="Heading2"/>
      </w:pPr>
      <w:r>
        <w:t>BP 中国高血压防治指南（2024年修订版）</w:t>
      </w:r>
    </w:p>
    <w:p>
      <w:r>
        <w:t>发布机构：中国高血压防治指南修订委员会、高血压联盟（中国）等联合组织。年份版本：2024；DOI 10.16439/j.issn.1673-7245.2024.07.002。适用人群：中国成人高血压防治。</w:t>
      </w:r>
    </w:p>
    <w:p>
      <w:r>
        <w:t>本模块对应证据：测量、诊断分级、靶器官与风险评估。核验范围：出版机构页面及元数据核对；登录受限全文未逐条核验。实际核验日期：2026-10-25。</w:t>
      </w:r>
    </w:p>
    <w:p>
      <w:r>
        <w:t>官方链接或DOI：https://cjournal.hep.com.cn/1673-7245/CN/10.16439/j.issn.1673-7245.2024.07.002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04心内科检验影像心电及特殊检查结果分析模板库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