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心内科治疗决策药物管理与医嘱表达规则库</w:t>
      </w:r>
    </w:p>
    <w:p>
      <w:r>
        <w:t>文件名称：07心内科治疗决策药物管理与医嘱表达规则库.docx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治疗决策、22项药物管理及医嘱表达。</w:t>
      </w:r>
    </w:p>
    <w:p>
      <w:r>
        <w:rPr>
          <w:b/>
        </w:rPr>
        <w:t>调用条件：</w:t>
      </w:r>
      <w:r>
        <w:t>治疗启动调整停用、围术用药、风险审核与出院核对。</w:t>
      </w:r>
    </w:p>
    <w:p>
      <w:r>
        <w:rPr>
          <w:b/>
        </w:rPr>
        <w:t>所需患者资料：</w:t>
      </w:r>
      <w:r>
        <w:t>实际处方与执行、体重年龄过敏肝肾电解质、适应证和真实疗效。</w:t>
      </w:r>
    </w:p>
    <w:p>
      <w:r>
        <w:rPr>
          <w:b/>
        </w:rPr>
        <w:t>医学分析流程：</w:t>
      </w:r>
      <w:r>
        <w:t>分A/B/C层→适应证禁忌剂量相互作用→方案与执行核对→复评。</w:t>
      </w:r>
    </w:p>
    <w:p>
      <w:r>
        <w:rPr>
          <w:b/>
        </w:rPr>
        <w:t>模块关系：</w:t>
      </w:r>
      <w:r>
        <w:t>专病提供适应证，05围术，09带药，11药物事件，10终审。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A B C三级治疗信息与执行状态</w:t>
        </w:r>
      </w:hyperlink>
    </w:p>
    <w:p>
      <w:pPr>
        <w:spacing w:after="0" w:line="240" w:lineRule="exact"/>
        <w:snapToGrid w:val="0"/>
      </w:pPr>
      <w:hyperlink w:anchor="s1002">
        <w:r>
          <w:t>1 抗血小板药</w:t>
        </w:r>
      </w:hyperlink>
    </w:p>
    <w:p>
      <w:pPr>
        <w:spacing w:after="0" w:line="240" w:lineRule="exact"/>
        <w:snapToGrid w:val="0"/>
      </w:pPr>
      <w:hyperlink w:anchor="s1003">
        <w:r>
          <w:t>2 抗凝药</w:t>
        </w:r>
      </w:hyperlink>
    </w:p>
    <w:p>
      <w:pPr>
        <w:spacing w:after="0" w:line="240" w:lineRule="exact"/>
        <w:snapToGrid w:val="0"/>
      </w:pPr>
      <w:hyperlink w:anchor="s1004">
        <w:r>
          <w:t>3 溶栓药</w:t>
        </w:r>
      </w:hyperlink>
    </w:p>
    <w:p>
      <w:pPr>
        <w:spacing w:after="0" w:line="240" w:lineRule="exact"/>
        <w:snapToGrid w:val="0"/>
      </w:pPr>
      <w:hyperlink w:anchor="s1005">
        <w:r>
          <w:t>4 他汀及其他调脂药</w:t>
        </w:r>
      </w:hyperlink>
    </w:p>
    <w:p>
      <w:pPr>
        <w:spacing w:after="0" w:line="240" w:lineRule="exact"/>
        <w:snapToGrid w:val="0"/>
      </w:pPr>
      <w:hyperlink w:anchor="s1006">
        <w:r>
          <w:t>5 ACEI ARB ARNI及其他降压药</w:t>
        </w:r>
      </w:hyperlink>
    </w:p>
    <w:p>
      <w:pPr>
        <w:spacing w:after="0" w:line="240" w:lineRule="exact"/>
        <w:snapToGrid w:val="0"/>
      </w:pPr>
      <w:hyperlink w:anchor="s1007">
        <w:r>
          <w:t>6 利尿剂及MRA</w:t>
        </w:r>
      </w:hyperlink>
    </w:p>
    <w:p>
      <w:pPr>
        <w:spacing w:after="0" w:line="240" w:lineRule="exact"/>
        <w:snapToGrid w:val="0"/>
      </w:pPr>
      <w:hyperlink w:anchor="s1008">
        <w:r>
          <w:t>7 抗心律失常药</w:t>
        </w:r>
      </w:hyperlink>
    </w:p>
    <w:p>
      <w:pPr>
        <w:spacing w:after="0" w:line="240" w:lineRule="exact"/>
        <w:snapToGrid w:val="0"/>
      </w:pPr>
      <w:hyperlink w:anchor="s1009">
        <w:r>
          <w:t>8 抗心衰药</w:t>
        </w:r>
      </w:hyperlink>
    </w:p>
    <w:p>
      <w:pPr>
        <w:spacing w:after="0" w:line="240" w:lineRule="exact"/>
        <w:snapToGrid w:val="0"/>
      </w:pPr>
      <w:hyperlink w:anchor="s1010">
        <w:r>
          <w:t>9 血管活性和正性肌力药</w:t>
        </w:r>
      </w:hyperlink>
    </w:p>
    <w:p>
      <w:pPr>
        <w:spacing w:after="0" w:line="240" w:lineRule="exact"/>
        <w:snapToGrid w:val="0"/>
      </w:pPr>
      <w:hyperlink w:anchor="s1011">
        <w:r>
          <w:t>10 硝酸酯及其他抗缺血药</w:t>
        </w:r>
      </w:hyperlink>
    </w:p>
    <w:p>
      <w:pPr>
        <w:spacing w:after="0" w:line="240" w:lineRule="exact"/>
        <w:snapToGrid w:val="0"/>
      </w:pPr>
      <w:hyperlink w:anchor="s1012">
        <w:r>
          <w:t>11 血糖管理</w:t>
        </w:r>
      </w:hyperlink>
    </w:p>
    <w:p>
      <w:pPr>
        <w:spacing w:after="0" w:line="240" w:lineRule="exact"/>
        <w:snapToGrid w:val="0"/>
      </w:pPr>
      <w:hyperlink w:anchor="s1013">
        <w:r>
          <w:t>12 电解质管理</w:t>
        </w:r>
      </w:hyperlink>
    </w:p>
    <w:p>
      <w:pPr>
        <w:spacing w:after="0" w:line="240" w:lineRule="exact"/>
        <w:snapToGrid w:val="0"/>
      </w:pPr>
      <w:hyperlink w:anchor="s1014">
        <w:r>
          <w:t>13 肾功能异常用药</w:t>
        </w:r>
      </w:hyperlink>
    </w:p>
    <w:p>
      <w:pPr>
        <w:spacing w:after="0" w:line="240" w:lineRule="exact"/>
        <w:snapToGrid w:val="0"/>
      </w:pPr>
      <w:hyperlink w:anchor="s1015">
        <w:r>
          <w:t>14 肝功能异常用药</w:t>
        </w:r>
      </w:hyperlink>
    </w:p>
    <w:p>
      <w:pPr>
        <w:spacing w:after="0" w:line="240" w:lineRule="exact"/>
        <w:snapToGrid w:val="0"/>
      </w:pPr>
      <w:hyperlink w:anchor="s1016">
        <w:r>
          <w:t>15 出血血栓平衡</w:t>
        </w:r>
      </w:hyperlink>
    </w:p>
    <w:p>
      <w:pPr>
        <w:spacing w:after="0" w:line="240" w:lineRule="exact"/>
        <w:snapToGrid w:val="0"/>
      </w:pPr>
      <w:hyperlink w:anchor="s1017">
        <w:r>
          <w:t>16 药物相互作用</w:t>
        </w:r>
      </w:hyperlink>
    </w:p>
    <w:p>
      <w:pPr>
        <w:spacing w:after="0" w:line="240" w:lineRule="exact"/>
        <w:snapToGrid w:val="0"/>
      </w:pPr>
      <w:hyperlink w:anchor="s1018">
        <w:r>
          <w:t>17 药物启动</w:t>
        </w:r>
      </w:hyperlink>
    </w:p>
    <w:p>
      <w:pPr>
        <w:spacing w:after="0" w:line="240" w:lineRule="exact"/>
        <w:snapToGrid w:val="0"/>
      </w:pPr>
      <w:hyperlink w:anchor="s1019">
        <w:r>
          <w:t>18 剂量调整</w:t>
        </w:r>
      </w:hyperlink>
    </w:p>
    <w:p>
      <w:pPr>
        <w:spacing w:after="0" w:line="240" w:lineRule="exact"/>
        <w:snapToGrid w:val="0"/>
      </w:pPr>
      <w:hyperlink w:anchor="s1020">
        <w:r>
          <w:t>19 药物停用</w:t>
        </w:r>
      </w:hyperlink>
    </w:p>
    <w:p>
      <w:pPr>
        <w:spacing w:after="0" w:line="240" w:lineRule="exact"/>
        <w:snapToGrid w:val="0"/>
      </w:pPr>
      <w:hyperlink w:anchor="s1021">
        <w:r>
          <w:t>20 术前术后管理</w:t>
        </w:r>
      </w:hyperlink>
    </w:p>
    <w:p>
      <w:pPr>
        <w:spacing w:after="0" w:line="240" w:lineRule="exact"/>
        <w:snapToGrid w:val="0"/>
      </w:pPr>
      <w:hyperlink w:anchor="s1022">
        <w:r>
          <w:t>21 药物不良反应</w:t>
        </w:r>
      </w:hyperlink>
    </w:p>
    <w:p>
      <w:pPr>
        <w:spacing w:after="0" w:line="240" w:lineRule="exact"/>
        <w:snapToGrid w:val="0"/>
      </w:pPr>
      <w:hyperlink w:anchor="s1023">
        <w:r>
          <w:t>22 医嘱与病程一致</w:t>
        </w:r>
      </w:hyperlink>
    </w:p>
    <w:p>
      <w:pPr>
        <w:spacing w:after="0" w:line="240" w:lineRule="exact"/>
        <w:snapToGrid w:val="0"/>
      </w:pPr>
      <w:hyperlink w:anchor="s1024">
        <w:r>
          <w:t>评分和治疗决策的适用性</w:t>
        </w:r>
      </w:hyperlink>
    </w:p>
    <w:p>
      <w:pPr>
        <w:spacing w:after="0" w:line="240" w:lineRule="exact"/>
        <w:snapToGrid w:val="0"/>
      </w:pPr>
      <w:hyperlink w:anchor="s1025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26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A B C三级治疗信息与执行状态</w:t>
      </w:r>
      <w:bookmarkEnd w:id="1001"/>
    </w:p>
    <w:p>
      <w:r>
        <w:rPr>
          <w:b/>
        </w:rPr>
        <w:t>A级 医学知识：</w:t>
      </w:r>
      <w:r>
        <w:t>只表述一般医学依据和适用条件，不作为患者实际方案。</w:t>
      </w:r>
    </w:p>
    <w:p>
      <w:r>
        <w:rPr>
          <w:b/>
        </w:rPr>
        <w:t>B级 拟定计划：</w:t>
      </w:r>
      <w:r>
        <w:t>责任医师拟定或确认的计划，用拟、建议或计划；已下医嘱但未执行仍不等于给药。</w:t>
      </w:r>
    </w:p>
    <w:p>
      <w:r>
        <w:rPr>
          <w:b/>
        </w:rPr>
        <w:t>C级 执行事实：</w:t>
      </w:r>
      <w:r>
        <w:t>有真实执行依据的给药或治疗，写药名剂量途径频次及反应；处方存在不自动证明已服用。</w:t>
      </w:r>
    </w:p>
    <w:p>
      <w:r>
        <w:t>药物账本保存通用名、具体品种、适应证、处方与执行时点、剂量单位、体重口径、途径、频次、起停及调整原因、肝肾和监测。µg/kg/min、µg/min与mg/h不可混写；泵速不能反推未知浓度。</w:t>
      </w:r>
    </w:p>
    <w:p>
      <w:bookmarkStart w:id="1002" w:name="s1002"/>
      <w:pPr>
        <w:pStyle w:val="Heading1"/>
      </w:pPr>
      <w:r>
        <w:t>1 抗血小板药</w:t>
      </w:r>
      <w:bookmarkEnd w:id="1002"/>
    </w:p>
    <w:p>
      <w:r>
        <w:rPr>
          <w:b/>
        </w:rPr>
        <w:t>适用与必需资料：</w:t>
      </w:r>
      <w:r>
        <w:t>核对ACS或支架适应证、药物组合、起始与疗程、过敏、出血及血小板。</w:t>
      </w:r>
    </w:p>
    <w:p>
      <w:r>
        <w:rPr>
          <w:b/>
        </w:rPr>
        <w:t>禁忌风险和调整：</w:t>
      </w:r>
      <w:r>
        <w:t>既往卒中、年龄体重、合并抗凝及拟手术影响具体P2Y12选择；消化道保护需审核相互作用；不能默认DAPT一年适合所有人。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3" w:name="s1003"/>
      <w:pPr>
        <w:pStyle w:val="Heading1"/>
      </w:pPr>
      <w:r>
        <w:t>2 抗凝药</w:t>
      </w:r>
      <w:bookmarkEnd w:id="1003"/>
    </w:p>
    <w:p>
      <w:r>
        <w:rPr>
          <w:b/>
        </w:rPr>
        <w:t>适用与必需资料：</w:t>
      </w:r>
      <w:r>
        <w:t>核对房颤、VTE、机械瓣等适应证、末次服药、体重肝肾功能、出血和近期操作。</w:t>
      </w:r>
    </w:p>
    <w:p>
      <w:r>
        <w:rPr>
          <w:b/>
        </w:rPr>
        <w:t>禁忌风险和调整：</w:t>
      </w:r>
      <w:r>
        <w:t>DOAC减量标准因药而异，不能统一按eGFR减半；机械瓣及特定二尖瓣狭窄不套普通房颤DOAC路径；华法林需INR及相互作用。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4" w:name="s1004"/>
      <w:pPr>
        <w:pStyle w:val="Heading1"/>
      </w:pPr>
      <w:r>
        <w:t>3 溶栓药</w:t>
      </w:r>
      <w:bookmarkEnd w:id="1004"/>
    </w:p>
    <w:p>
      <w:r>
        <w:rPr>
          <w:b/>
        </w:rPr>
        <w:t>适用与必需资料：</w:t>
      </w:r>
      <w:r>
        <w:t>先核对疾病适应证、发病窗口、已完成检查、禁忌证、体重与方案。</w:t>
      </w:r>
    </w:p>
    <w:p>
      <w:r>
        <w:rPr>
          <w:b/>
        </w:rPr>
        <w:t>禁忌风险和调整：</w:t>
      </w:r>
      <w:r>
        <w:t>疑似夹层、活动性出血及相关颅内病史等必须逐项核查；病历只能记录实际实施方案，不能从疾病名称推出已溶栓。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5" w:name="s1005"/>
      <w:pPr>
        <w:pStyle w:val="Heading1"/>
      </w:pPr>
      <w:r>
        <w:t>4 他汀及其他调脂药</w:t>
      </w:r>
      <w:bookmarkEnd w:id="1005"/>
    </w:p>
    <w:p>
      <w:r>
        <w:rPr>
          <w:b/>
        </w:rPr>
        <w:t>适用与必需资料：</w:t>
      </w:r>
      <w:r>
        <w:t>基于ASCVD风险和已选指南设目标，核对实际强度、疗效和耐受。</w:t>
      </w:r>
    </w:p>
    <w:p>
      <w:r>
        <w:rPr>
          <w:b/>
        </w:rPr>
        <w:t>禁忌风险和调整：</w:t>
      </w:r>
      <w:r>
        <w:t>检查肝病、肌痛及肌酶适应证、合并用药；依折麦布、PCSK9相关药及其他药物按各自适应证，不自动全部联用。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6" w:name="s1006"/>
      <w:pPr>
        <w:pStyle w:val="Heading1"/>
      </w:pPr>
      <w:r>
        <w:t>5 ACEI ARB ARNI及其他降压药</w:t>
      </w:r>
      <w:bookmarkEnd w:id="1006"/>
    </w:p>
    <w:p>
      <w:r>
        <w:rPr>
          <w:b/>
        </w:rPr>
        <w:t>适用与必需资料：</w:t>
      </w:r>
      <w:r>
        <w:t>核对血压、低灌注、肾功能钾、妊娠及既往血管性水肿；依据个体合并症选择。</w:t>
      </w:r>
    </w:p>
    <w:p>
      <w:r>
        <w:rPr>
          <w:b/>
        </w:rPr>
        <w:t>禁忌风险和调整：</w:t>
      </w:r>
      <w:r>
        <w:t>ACEI与ARNI转换需核对至少36小时的间隔及禁忌，不能ACEI、ARB和ARNI重复叠加；β阻滞剂查心率传导及急性失代偿状态。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7" w:name="s1007"/>
      <w:pPr>
        <w:pStyle w:val="Heading1"/>
      </w:pPr>
      <w:r>
        <w:t>6 利尿剂及MRA</w:t>
      </w:r>
      <w:bookmarkEnd w:id="1007"/>
    </w:p>
    <w:p>
      <w:r>
        <w:rPr>
          <w:b/>
        </w:rPr>
        <w:t>适用与必需资料：</w:t>
      </w:r>
      <w:r>
        <w:t>核对淤血证据、血压、体重、出入量、钾钠镁及肾功能。</w:t>
      </w:r>
    </w:p>
    <w:p>
      <w:r>
        <w:rPr>
          <w:b/>
        </w:rPr>
        <w:t>禁忌风险和调整：</w:t>
      </w:r>
      <w:r>
        <w:t>去淤血反应和低灌注同时评估；MRA注意高钾；低钾与其他延长QT药风险叠加；不能凭水肿一项无限加量。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8" w:name="s1008"/>
      <w:pPr>
        <w:pStyle w:val="Heading1"/>
      </w:pPr>
      <w:r>
        <w:t>7 抗心律失常药</w:t>
      </w:r>
      <w:bookmarkEnd w:id="1008"/>
    </w:p>
    <w:p>
      <w:r>
        <w:rPr>
          <w:b/>
        </w:rPr>
        <w:t>适用与必需资料：</w:t>
      </w:r>
      <w:r>
        <w:t>核对心律证据、结构性心脏病、QT/QTc、传导、心率、肝肾功能及电解质。</w:t>
      </w:r>
    </w:p>
    <w:p>
      <w:r>
        <w:rPr>
          <w:b/>
        </w:rPr>
        <w:t>禁忌风险和调整：</w:t>
      </w:r>
      <w:r>
        <w:t>胺碘酮注意甲状腺肝肺和相互作用；Ⅰc类需严格评估结构性或缺血性心脏病限制；不稳定心律不能仅靠口服药等待。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09" w:name="s1009"/>
      <w:pPr>
        <w:pStyle w:val="Heading1"/>
      </w:pPr>
      <w:r>
        <w:t>8 抗心衰药</w:t>
      </w:r>
      <w:bookmarkEnd w:id="1009"/>
    </w:p>
    <w:p>
      <w:r>
        <w:rPr>
          <w:b/>
        </w:rPr>
        <w:t>适用与必需资料：</w:t>
      </w:r>
      <w:r>
        <w:t>根据心衰表型、容量及灌注逐项评价ARNI或ACEI/ARB、循证β阻滞剂、MRA、SGLT2抑制剂等适用性。</w:t>
      </w:r>
    </w:p>
    <w:p>
      <w:r>
        <w:rPr>
          <w:b/>
        </w:rPr>
        <w:t>禁忌风险和调整：</w:t>
      </w:r>
      <w:r>
        <w:t>SGLT2抑制剂注意酮症酸中毒、感染、容量不足和围手术或禁食；不能因无糖尿病即否定适用，也不能把推荐写为已执行。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0" w:name="s1010"/>
      <w:pPr>
        <w:pStyle w:val="Heading1"/>
      </w:pPr>
      <w:r>
        <w:t>9 血管活性和正性肌力药</w:t>
      </w:r>
      <w:bookmarkEnd w:id="1010"/>
    </w:p>
    <w:p>
      <w:r>
        <w:rPr>
          <w:b/>
        </w:rPr>
        <w:t>适用与必需资料：</w:t>
      </w:r>
      <w:r>
        <w:t>核对休克病因、循环支持目标、浓度、体重、单位、泵速、入路和监护。</w:t>
      </w:r>
    </w:p>
    <w:p>
      <w:r>
        <w:rPr>
          <w:b/>
        </w:rPr>
        <w:t>禁忌风险和调整：</w:t>
      </w:r>
      <w:r>
        <w:t>去甲肾上腺素、多巴酚丁胺等均须按真实医嘱执行；记录血压、灌注、乳酸与尿量反应；不得从泵速反推未知浓度。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1" w:name="s1011"/>
      <w:pPr>
        <w:pStyle w:val="Heading1"/>
      </w:pPr>
      <w:r>
        <w:t>10 硝酸酯及其他抗缺血药</w:t>
      </w:r>
      <w:bookmarkEnd w:id="1011"/>
    </w:p>
    <w:p>
      <w:r>
        <w:rPr>
          <w:b/>
        </w:rPr>
        <w:t>适用与必需资料：</w:t>
      </w:r>
      <w:r>
        <w:t>核对血压、右室受累、近期PDE5抑制剂使用、严重瓣膜病及症状。</w:t>
      </w:r>
    </w:p>
    <w:p>
      <w:r>
        <w:rPr>
          <w:b/>
        </w:rPr>
        <w:t>禁忌风险和调整：</w:t>
      </w:r>
      <w:r>
        <w:t>不把症状缓解当冠心病确诊；地高辛核对肾功能、电解质、血药浓度适应证及毒性；所有药名剂量以实际医嘱为准。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2" w:name="s1012"/>
      <w:pPr>
        <w:pStyle w:val="Heading1"/>
      </w:pPr>
      <w:r>
        <w:t>11 血糖管理</w:t>
      </w:r>
      <w:bookmarkEnd w:id="1012"/>
    </w:p>
    <w:p>
      <w:r>
        <w:rPr>
          <w:b/>
        </w:rPr>
        <w:t>适用与必需资料：</w:t>
      </w:r>
      <w:r>
        <w:t>核对既往糖尿病、真实血糖HbA1c、进食及危重状态。</w:t>
      </w:r>
    </w:p>
    <w:p>
      <w:r>
        <w:rPr>
          <w:b/>
        </w:rPr>
        <w:t>禁忌风险和调整：</w:t>
      </w:r>
      <w:r>
        <w:t>低血糖、应激高糖与糖尿病区分；不用统一目标和未核实胰岛素方案。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3" w:name="s1013"/>
      <w:pPr>
        <w:pStyle w:val="Heading1"/>
      </w:pPr>
      <w:r>
        <w:t>12 电解质管理</w:t>
      </w:r>
      <w:bookmarkEnd w:id="1013"/>
    </w:p>
    <w:p>
      <w:r>
        <w:rPr>
          <w:b/>
        </w:rPr>
        <w:t>适用与必需资料：</w:t>
      </w:r>
      <w:r>
        <w:t>核对真实钾钠镁钙、肾功能、心电及标本溶血。</w:t>
      </w:r>
    </w:p>
    <w:p>
      <w:r>
        <w:rPr>
          <w:b/>
        </w:rPr>
        <w:t>禁忌风险和调整：</w:t>
      </w:r>
      <w:r>
        <w:t>补充浓度速度途径必须真实医嘱，纠正过快和叠加药物风险复核。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4" w:name="s1014"/>
      <w:pPr>
        <w:pStyle w:val="Heading1"/>
      </w:pPr>
      <w:r>
        <w:t>13 肾功能异常用药</w:t>
      </w:r>
      <w:bookmarkEnd w:id="1014"/>
    </w:p>
    <w:p>
      <w:r>
        <w:rPr>
          <w:b/>
        </w:rPr>
        <w:t>适用与必需资料：</w:t>
      </w:r>
      <w:r>
        <w:t>使用药品说明书要求的CrCl或eGFR口径，核对基线与急性变化。</w:t>
      </w:r>
    </w:p>
    <w:p>
      <w:r>
        <w:rPr>
          <w:b/>
        </w:rPr>
        <w:t>禁忌风险和调整：</w:t>
      </w:r>
      <w:r>
        <w:t>不同DOAC及其他药物减量条件不同；体重肌酐单位和透析状态不可缺。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5" w:name="s1015"/>
      <w:pPr>
        <w:pStyle w:val="Heading1"/>
      </w:pPr>
      <w:r>
        <w:t>14 肝功能异常用药</w:t>
      </w:r>
      <w:bookmarkEnd w:id="1015"/>
    </w:p>
    <w:p>
      <w:r>
        <w:rPr>
          <w:b/>
        </w:rPr>
        <w:t>适用与必需资料：</w:t>
      </w:r>
      <w:r>
        <w:t>肝病程度、凝血胆红素、转氨酶和药物肝毒性。</w:t>
      </w:r>
    </w:p>
    <w:p>
      <w:r>
        <w:rPr>
          <w:b/>
        </w:rPr>
        <w:t>禁忌风险和调整：</w:t>
      </w:r>
      <w:r>
        <w:t>不能仅按单次ALT一律停全部药，禁忌按具体品种原说明书。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6" w:name="s1016"/>
      <w:pPr>
        <w:pStyle w:val="Heading1"/>
      </w:pPr>
      <w:r>
        <w:t>15 出血血栓平衡</w:t>
      </w:r>
      <w:bookmarkEnd w:id="1016"/>
    </w:p>
    <w:p>
      <w:r>
        <w:rPr>
          <w:b/>
        </w:rPr>
        <w:t>适用与必需资料：</w:t>
      </w:r>
      <w:r>
        <w:t>实际抗凝抗血小板组合、近期支架、VTE房颤及出血部位。</w:t>
      </w:r>
    </w:p>
    <w:p>
      <w:r>
        <w:rPr>
          <w:b/>
        </w:rPr>
        <w:t>禁忌风险和调整：</w:t>
      </w:r>
      <w:r>
        <w:t>不得无依据维持三联或停止全部抗栓，必须记录取舍、期限和复评条件。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7" w:name="s1017"/>
      <w:pPr>
        <w:pStyle w:val="Heading1"/>
      </w:pPr>
      <w:r>
        <w:t>16 药物相互作用</w:t>
      </w:r>
      <w:bookmarkEnd w:id="1017"/>
    </w:p>
    <w:p>
      <w:r>
        <w:rPr>
          <w:b/>
        </w:rPr>
        <w:t>适用与必需资料：</w:t>
      </w:r>
      <w:r>
        <w:t>逐药核对处方、自购药、草药、抗菌药及影响QT或代谢的药。</w:t>
      </w:r>
    </w:p>
    <w:p>
      <w:r>
        <w:rPr>
          <w:b/>
        </w:rPr>
        <w:t>禁忌风险和调整：</w:t>
      </w:r>
      <w:r>
        <w:t>硝酸酯与PDE5抑制剂、重复RAAS及多种致缓延QT药等需结合具体禁忌。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8" w:name="s1018"/>
      <w:pPr>
        <w:pStyle w:val="Heading1"/>
      </w:pPr>
      <w:r>
        <w:t>17 药物启动</w:t>
      </w:r>
      <w:bookmarkEnd w:id="1018"/>
    </w:p>
    <w:p>
      <w:r>
        <w:rPr>
          <w:b/>
        </w:rPr>
        <w:t>适用与必需资料：</w:t>
      </w:r>
      <w:r>
        <w:t>明确适应证、基线禁忌、目标和监测。</w:t>
      </w:r>
    </w:p>
    <w:p>
      <w:r>
        <w:rPr>
          <w:b/>
        </w:rPr>
        <w:t>禁忌风险和调整：</w:t>
      </w:r>
      <w:r>
        <w:t>推荐不自动等于医嘱，医嘱不自动等于执行；启动后必须观察实际耐受。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19" w:name="s1019"/>
      <w:pPr>
        <w:pStyle w:val="Heading1"/>
      </w:pPr>
      <w:r>
        <w:t>18 剂量调整</w:t>
      </w:r>
      <w:bookmarkEnd w:id="1019"/>
    </w:p>
    <w:p>
      <w:r>
        <w:rPr>
          <w:b/>
        </w:rPr>
        <w:t>适用与必需资料：</w:t>
      </w:r>
      <w:r>
        <w:t>依据真实疗效、血压心率、体重肝肾和不良反应。</w:t>
      </w:r>
    </w:p>
    <w:p>
      <w:r>
        <w:rPr>
          <w:b/>
        </w:rPr>
        <w:t>禁忌风险和调整：</w:t>
      </w:r>
      <w:r>
        <w:t>写原剂量、新剂量及单位途径，未知原方案不补造。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20" w:name="s1020"/>
      <w:pPr>
        <w:pStyle w:val="Heading1"/>
      </w:pPr>
      <w:r>
        <w:t>19 药物停用</w:t>
      </w:r>
      <w:bookmarkEnd w:id="1020"/>
    </w:p>
    <w:p>
      <w:r>
        <w:rPr>
          <w:b/>
        </w:rPr>
        <w:t>适用与必需资料：</w:t>
      </w:r>
      <w:r>
        <w:t>说明停用事件、触发原因、风险与替代。</w:t>
      </w:r>
    </w:p>
    <w:p>
      <w:r>
        <w:rPr>
          <w:b/>
        </w:rPr>
        <w:t>禁忌风险和调整：</w:t>
      </w:r>
      <w:r>
        <w:t>已停不继续写正在使用，临时暂停与永久停用区分。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21" w:name="s1021"/>
      <w:pPr>
        <w:pStyle w:val="Heading1"/>
      </w:pPr>
      <w:r>
        <w:t>20 术前术后管理</w:t>
      </w:r>
      <w:bookmarkEnd w:id="1021"/>
    </w:p>
    <w:p>
      <w:r>
        <w:rPr>
          <w:b/>
        </w:rPr>
        <w:t>适用与必需资料：</w:t>
      </w:r>
      <w:r>
        <w:t>核对操作出血风险、抗栓及糖尿病用药，安排真实中断恢复。</w:t>
      </w:r>
    </w:p>
    <w:p>
      <w:r>
        <w:rPr>
          <w:b/>
        </w:rPr>
        <w:t>禁忌风险和调整：</w:t>
      </w:r>
      <w:r>
        <w:t>围术SGLT2抑制剂等按具体药品和院内路径，不写通用固定停药天数。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22" w:name="s1022"/>
      <w:pPr>
        <w:pStyle w:val="Heading1"/>
      </w:pPr>
      <w:r>
        <w:t>21 药物不良反应</w:t>
      </w:r>
      <w:bookmarkEnd w:id="1022"/>
    </w:p>
    <w:p>
      <w:r>
        <w:rPr>
          <w:b/>
        </w:rPr>
        <w:t>适用与必需资料：</w:t>
      </w:r>
      <w:r>
        <w:t>发生时序、表现、实验室和排除其他病因。</w:t>
      </w:r>
    </w:p>
    <w:p>
      <w:r>
        <w:rPr>
          <w:b/>
        </w:rPr>
        <w:t>禁忌风险和调整：</w:t>
      </w:r>
      <w:r>
        <w:t>区分疑似与已确认因果，真实处置与复查闭环。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23" w:name="s1023"/>
      <w:pPr>
        <w:pStyle w:val="Heading1"/>
      </w:pPr>
      <w:r>
        <w:t>22 医嘱与病程一致</w:t>
      </w:r>
      <w:bookmarkEnd w:id="1023"/>
    </w:p>
    <w:p>
      <w:r>
        <w:rPr>
          <w:b/>
        </w:rPr>
        <w:t>适用与必需资料：</w:t>
      </w:r>
      <w:r>
        <w:t>逐一比较药名、剂量、途径、频次、起停和执行。</w:t>
      </w:r>
    </w:p>
    <w:p>
      <w:r>
        <w:rPr>
          <w:b/>
        </w:rPr>
        <w:t>禁忌风险和调整：</w:t>
      </w:r>
      <w:r>
        <w:t>严重不一致先核实，不静默修改医嘱或用病程代下处方。</w:t>
      </w:r>
    </w:p>
    <w:p>
      <w:pPr>
        <w:pStyle w:val="Meta"/>
      </w:pPr>
      <w:r>
        <w:t>〈实际日期时间〉 治疗调整病程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因〈真实适应证或治疗反应〉，结合〈血压心率肝肾电解质及出血等个体资料〉，评估〈获益风险和替代路径〉，拟〈责任医师确认的具体方案〉。〈真实已执行治疗及效果〉，监测〈明确疗效和不良反应指标〉。</w:t>
      </w:r>
    </w:p>
    <w:p>
      <w:pPr>
        <w:pStyle w:val="Code"/>
      </w:pPr>
      <w:r>
        <w:t>```</w:t>
      </w:r>
    </w:p>
    <w:p>
      <w:bookmarkStart w:id="1024" w:name="s1024"/>
      <w:pPr>
        <w:pStyle w:val="Heading1"/>
      </w:pPr>
      <w:r>
        <w:t>评分和治疗决策的适用性</w:t>
      </w:r>
      <w:bookmarkEnd w:id="1024"/>
    </w:p>
    <w:p>
      <w:pPr>
        <w:pStyle w:val="Heading2"/>
      </w:pPr>
      <w:r>
        <w:t>GRACE</w:t>
      </w:r>
    </w:p>
    <w:p>
      <w:r>
        <w:rPr>
          <w:b/>
        </w:rPr>
        <w:t>对象和版本：</w:t>
      </w:r>
      <w:r>
        <w:t>成人ACS；明确原GRACE或GRACE 2.0及院内死亡、随访死亡等结局。</w:t>
      </w:r>
    </w:p>
    <w:p>
      <w:r>
        <w:rPr>
          <w:b/>
        </w:rPr>
        <w:t>所需变量：</w:t>
      </w:r>
      <w:r>
        <w:t>年龄、心率、收缩压、肌酐、Killip、入院心搏骤停、ST段改变、心肌标志物；记录真实取值及评估时点。</w:t>
      </w:r>
    </w:p>
    <w:p>
      <w:r>
        <w:rPr>
          <w:b/>
        </w:rPr>
        <w:t>不能越过的限制：</w:t>
      </w:r>
      <w:r>
        <w:t>需经验证版本的计算器或原始模型；不能把缺项记零，不能手编概率。</w:t>
      </w:r>
    </w:p>
    <w:p>
      <w:pPr>
        <w:pStyle w:val="Heading2"/>
      </w:pPr>
      <w:r>
        <w:t>TIMI UA NSTEMI</w:t>
      </w:r>
    </w:p>
    <w:p>
      <w:r>
        <w:rPr>
          <w:b/>
        </w:rPr>
        <w:t>对象和版本：</w:t>
      </w:r>
      <w:r>
        <w:t>UA或NSTEMI，不用于替代STEMI专门评分。</w:t>
      </w:r>
    </w:p>
    <w:p>
      <w:r>
        <w:rPr>
          <w:b/>
        </w:rPr>
        <w:t>所需变量：</w:t>
      </w:r>
      <w:r>
        <w:t>年龄≥65、冠心病危险因素≥3、已知冠脉狭窄≥50%、近7日阿司匹林、24小时内严重心绞痛≥2次、ST偏移≥0.5mm、标志物升高；各1分。</w:t>
      </w:r>
    </w:p>
    <w:p>
      <w:r>
        <w:rPr>
          <w:b/>
        </w:rPr>
        <w:t>不能越过的限制：</w:t>
      </w:r>
      <w:r>
        <w:t>全部变量已核实才相加；本页不将得分机械映射为个体事件概率；STEMI版本另查原模型。</w:t>
      </w:r>
    </w:p>
    <w:p>
      <w:pPr>
        <w:pStyle w:val="Heading2"/>
      </w:pPr>
      <w:r>
        <w:t>Killip</w:t>
      </w:r>
    </w:p>
    <w:p>
      <w:r>
        <w:rPr>
          <w:b/>
        </w:rPr>
        <w:t>对象和版本：</w:t>
      </w:r>
      <w:r>
        <w:t>急性心肌梗死相关心衰的床旁分级。</w:t>
      </w:r>
    </w:p>
    <w:p>
      <w:r>
        <w:rPr>
          <w:b/>
        </w:rPr>
        <w:t>所需变量：</w:t>
      </w:r>
      <w:r>
        <w:t>Ⅰ无心衰体征，Ⅱ轻中度心衰体征，Ⅲ肺水肿，Ⅳ心源性休克；以真实体征及灌注状态分类。</w:t>
      </w:r>
    </w:p>
    <w:p>
      <w:r>
        <w:rPr>
          <w:b/>
        </w:rPr>
        <w:t>不能越过的限制：</w:t>
      </w:r>
      <w:r>
        <w:t>无查体不自动Ⅰ级；此分级不是NYHA替代物，治疗后需说明评估阶段。</w:t>
      </w:r>
    </w:p>
    <w:p>
      <w:pPr>
        <w:pStyle w:val="Heading2"/>
      </w:pPr>
      <w:r>
        <w:t>NYHA</w:t>
      </w:r>
    </w:p>
    <w:p>
      <w:r>
        <w:rPr>
          <w:b/>
        </w:rPr>
        <w:t>对象和版本：</w:t>
      </w:r>
      <w:r>
        <w:t>心衰或相关慢性心脏病活动耐量评估。</w:t>
      </w:r>
    </w:p>
    <w:p>
      <w:r>
        <w:rPr>
          <w:b/>
        </w:rPr>
        <w:t>所需变量：</w:t>
      </w:r>
      <w:r>
        <w:t>Ⅰ一般活动不受限；Ⅱ一般活动出现症状；Ⅲ低于一般活动即症状；Ⅳ静息亦有症状。须问实际活动阈值和限制原因。</w:t>
      </w:r>
    </w:p>
    <w:p>
      <w:r>
        <w:rPr>
          <w:b/>
        </w:rPr>
        <w:t>不能越过的限制：</w:t>
      </w:r>
      <w:r>
        <w:t>不能凭LVEF、BNP或住院地点决定；急性期状态和稳定期基线分别说明。</w:t>
      </w:r>
    </w:p>
    <w:p>
      <w:pPr>
        <w:pStyle w:val="Heading2"/>
      </w:pPr>
      <w:r>
        <w:t>CHA₂DS₂-VASc</w:t>
      </w:r>
    </w:p>
    <w:p>
      <w:r>
        <w:rPr>
          <w:b/>
        </w:rPr>
        <w:t>对象和版本：</w:t>
      </w:r>
      <w:r>
        <w:t>按所选房颤指南用于卒中风险；不覆盖机械瓣等特殊独立抗凝情境。</w:t>
      </w:r>
    </w:p>
    <w:p>
      <w:r>
        <w:rPr>
          <w:b/>
        </w:rPr>
        <w:t>所需变量：</w:t>
      </w:r>
      <w:r>
        <w:t>心衰1、高血压1、年龄≥75为2、糖尿病1、卒中TIA或血栓栓塞2、血管病1、年龄65至74为1、女性1；年龄不可重复计分。</w:t>
      </w:r>
    </w:p>
    <w:p>
      <w:r>
        <w:rPr>
          <w:b/>
        </w:rPr>
        <w:t>不能越过的限制：</w:t>
      </w:r>
      <w:r>
        <w:t>逐项核实疾病定义及来源；女性因素解释按采用指南；不与CHA₂DS₂-VASc-60或CHA₂DS₂-VA混算。</w:t>
      </w:r>
    </w:p>
    <w:p>
      <w:pPr>
        <w:pStyle w:val="Heading2"/>
      </w:pPr>
      <w:r>
        <w:t>HAS-BLED</w:t>
      </w:r>
    </w:p>
    <w:p>
      <w:r>
        <w:rPr>
          <w:b/>
        </w:rPr>
        <w:t>对象和版本：</w:t>
      </w:r>
      <w:r>
        <w:t>房颤抗凝相关出血风险的辅助评估。</w:t>
      </w:r>
    </w:p>
    <w:p>
      <w:r>
        <w:rPr>
          <w:b/>
        </w:rPr>
        <w:t>所需变量：</w:t>
      </w:r>
      <w:r>
        <w:t>未控制高血压、肾功能异常、肝功能异常、卒中、出血史或倾向、华法林INR不稳定、年龄&gt;65、相关药物、过量饮酒；按所采用原定义分别计分。</w:t>
      </w:r>
    </w:p>
    <w:p>
      <w:r>
        <w:rPr>
          <w:b/>
        </w:rPr>
        <w:t>不能越过的限制：</w:t>
      </w:r>
      <w:r>
        <w:t>肝肾及药物饮酒各可单列，最高9分；DOAC患者不凭空填INR不稳定。高风险用于纠正因素和加强随访，不单独否定抗凝。</w:t>
      </w:r>
    </w:p>
    <w:p>
      <w:pPr>
        <w:pStyle w:val="Heading2"/>
      </w:pPr>
      <w:r>
        <w:t>CHA₂DS₂-VA和中国修订评分</w:t>
      </w:r>
    </w:p>
    <w:p>
      <w:r>
        <w:rPr>
          <w:b/>
        </w:rPr>
        <w:t>对象和版本：</w:t>
      </w:r>
      <w:r>
        <w:t>2024 ESC的VA与中国指南修订版应分别记录名称及版本。</w:t>
      </w:r>
    </w:p>
    <w:p>
      <w:r>
        <w:rPr>
          <w:b/>
        </w:rPr>
        <w:t>所需变量：</w:t>
      </w:r>
      <w:r>
        <w:t>VA去除性别项；中国60年龄修订的完整定义及阈值需按原文核验后启用。</w:t>
      </w:r>
    </w:p>
    <w:p>
      <w:r>
        <w:rPr>
          <w:b/>
        </w:rPr>
        <w:t>不能越过的限制：</w:t>
      </w:r>
      <w:r>
        <w:t>不能把60至64岁套入经典VASc年龄项，也不能把一种评分的阈值配到另一种结果。</w:t>
      </w:r>
    </w:p>
    <w:p>
      <w:pPr>
        <w:pStyle w:val="Heading2"/>
      </w:pPr>
      <w:r>
        <w:t>其他工具</w:t>
      </w:r>
    </w:p>
    <w:p>
      <w:r>
        <w:rPr>
          <w:b/>
        </w:rPr>
        <w:t>对象和版本：</w:t>
      </w:r>
      <w:r>
        <w:t>肺栓塞PESI或sPESI、出血ARC-HBR或PRECISE-DAPT、休克SCAI等按适应证。</w:t>
      </w:r>
    </w:p>
    <w:p>
      <w:r>
        <w:rPr>
          <w:b/>
        </w:rPr>
        <w:t>所需变量：</w:t>
      </w:r>
      <w:r>
        <w:t>先登记模型版本、结局、全部变量、时点及来源；未核验完整变量时只做定性评估。</w:t>
      </w:r>
    </w:p>
    <w:p>
      <w:r>
        <w:rPr>
          <w:b/>
        </w:rPr>
        <w:t>不能越过的限制：</w:t>
      </w:r>
      <w:r>
        <w:t>工具适用性不足不阻碍紧急临床处置；不得先填一个得分再反推缺失事实。</w:t>
      </w:r>
    </w:p>
    <w:p>
      <w:bookmarkStart w:id="1025" w:name="s1025"/>
      <w:pPr>
        <w:pStyle w:val="Heading1"/>
      </w:pPr>
      <w:r>
        <w:t>典型应用与模块协作</w:t>
      </w:r>
      <w:bookmarkEnd w:id="1025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不按疾病常规补写正在使用药物，不编剂量和执行，不把缺变量评分当零。</w:t>
      </w:r>
    </w:p>
    <w:p>
      <w:r>
        <w:rPr>
          <w:b/>
        </w:rPr>
        <w:t>质量控制标准：</w:t>
      </w:r>
      <w:r>
        <w:t>A级推荐、B级方案和C级执行可辨，22项管理具备适应证风险与模板，具体药品核对说明书及现行医嘱。</w:t>
      </w:r>
    </w:p>
    <w:p>
      <w:bookmarkStart w:id="1026" w:name="s1026"/>
      <w:pPr>
        <w:pStyle w:val="Heading1"/>
      </w:pPr>
      <w:r>
        <w:t>指南证据来源与版本更新</w:t>
      </w:r>
      <w:bookmarkEnd w:id="1026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C2 非ST段抬高型急性冠脉综合征诊断和治疗指南（2024）</w:t>
      </w:r>
    </w:p>
    <w:p>
      <w:r>
        <w:t>发布机构：中华医学会心血管病学分会、中华心血管病杂志编辑委员会。年份版本：2024；DOI 10.3760/cma.j.cn112148-20240107-00014。适用人群：成人NSTE-ACS。</w:t>
      </w:r>
    </w:p>
    <w:p>
      <w:r>
        <w:t>本模块对应证据：诊断、危险分层与介入策略。核验范围：学会原始PDF及出版记录核对。实际核验日期：2026-10-25。</w:t>
      </w:r>
    </w:p>
    <w:p>
      <w:r>
        <w:t>官方链接或DOI：https://csc.cma.org.cn/attach/0/46bfbba77f4249aebc2ae9b70eef5377.pdf</w:t>
      </w:r>
    </w:p>
    <w:p>
      <w:pPr>
        <w:pStyle w:val="Heading2"/>
      </w:pPr>
      <w:r>
        <w:t>C3 2025 ACC/AHA/ACEP/NAEMSP/SCAI Guideline for the Management of Patients With Acute Coronary Syndromes</w:t>
      </w:r>
    </w:p>
    <w:p>
      <w:r>
        <w:t>发布机构：ACC、AHA、ACEP、NAEMSP、SCAI。年份版本：2025。适用人群：成人ACS。</w:t>
      </w:r>
    </w:p>
    <w:p>
      <w:r>
        <w:t>本模块对应证据：再灌注、抗栓及院后管理的国际补充依据。核验范围：官方指南入口及JACC出版记录核对。实际核验日期：2026-10-25。</w:t>
      </w:r>
    </w:p>
    <w:p>
      <w:r>
        <w:t>官方链接或DOI：https://www.acc.org/guidelines/guidelines/2025/02/27/17/21/acute-coronary-syndromes-2025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AF1 心房颤动诊断和治疗中国指南</w:t>
      </w:r>
    </w:p>
    <w:p>
      <w:r>
        <w:t>发布机构：中华医学会心血管病学分会、中国生物医学工程学会心律分会。年份版本：2023。适用人群：成人房颤。</w:t>
      </w:r>
    </w:p>
    <w:p>
      <w:r>
        <w:t>本模块对应证据：规范化诊断、卒中预防与节律控制；评分版本分开。核验范围：官方发布和摘要核对；图片形式正文未逐条转录。实际核验日期：2026-10-22。</w:t>
      </w:r>
    </w:p>
    <w:p>
      <w:r>
        <w:t>官方链接或DOI：https://csc.cma.org.cn/art/2023/6/21/art_619_51441.html</w:t>
      </w:r>
    </w:p>
    <w:p>
      <w:pPr>
        <w:pStyle w:val="Heading2"/>
      </w:pPr>
      <w:r>
        <w:t>AF2 中国心房颤动管理指南（2025）</w:t>
      </w:r>
    </w:p>
    <w:p>
      <w:r>
        <w:t>发布机构：中华医学会心电生理和起搏分会、中国医师协会心律学专业委员会。年份版本：2025。适用人群：成人房颤。</w:t>
      </w:r>
    </w:p>
    <w:p>
      <w:r>
        <w:t>本模块对应证据：国内新版本管理体系；具体剂量及推荐强度待原文确认。核验范围：期刊官方目录核对；不将摘要视为全文核验。实际核验日期：2026-10-25。</w:t>
      </w:r>
    </w:p>
    <w:p>
      <w:r>
        <w:t>官方链接或DOI：https://zgxz.cbpt.cnki.net/portal/journal/portal/client/index</w:t>
      </w:r>
    </w:p>
    <w:p>
      <w:pPr>
        <w:pStyle w:val="Heading2"/>
      </w:pPr>
      <w:r>
        <w:t>AF3 2024 ESC Guidelines for the management of atrial fibrillation developed in collaboration with EACTS</w:t>
      </w:r>
    </w:p>
    <w:p>
      <w:r>
        <w:t>发布机构：ESC、EACTS。年份版本：2024。适用人群：成人房颤。</w:t>
      </w:r>
    </w:p>
    <w:p>
      <w:r>
        <w:t>本模块对应证据：CHA₂DS₂-VA与其他评分版本不得混用。核验范围：官方要点文件核对。实际核验日期：2026-10-22。</w:t>
      </w:r>
    </w:p>
    <w:p>
      <w:r>
        <w:t>官方链接或DOI：https://www.escardio.org/static-file/Escardio/Guidelines/Products/Essential%20Messages/2024%20EM/Essential%20Messages_2024%20AFib.pdf</w:t>
      </w:r>
    </w:p>
    <w:p>
      <w:pPr>
        <w:pStyle w:val="Heading2"/>
      </w:pPr>
      <w:r>
        <w:t>TIMI TIMI Risk Score Calculator for UA/NSTEMI</w:t>
      </w:r>
    </w:p>
    <w:p>
      <w:r>
        <w:t>发布机构：TIMI Study Group。年份版本：官方在线工具；访问日期见下。适用人群：UA或NSTEMI。</w:t>
      </w:r>
    </w:p>
    <w:p>
      <w:r>
        <w:t>本模块对应证据：7项变量各1分；不得套用STEMI模型。核验范围：官方变量逐项核对。实际核验日期：2026-10-22。</w:t>
      </w:r>
    </w:p>
    <w:p>
      <w:r>
        <w:t>官方链接或DOI：https://timi.org/calculators/timi-risk-score-calculator-for-ua-nstemi/</w:t>
      </w:r>
    </w:p>
    <w:p>
      <w:pPr>
        <w:pStyle w:val="Heading2"/>
      </w:pPr>
      <w:r>
        <w:t>PH 2022 ESC/ERS Guidelines for the diagnosis and treatment of pulmonary hypertension</w:t>
      </w:r>
    </w:p>
    <w:p>
      <w:r>
        <w:t>发布机构：ESC、ERS。年份版本：2022；DOI 10.1093/eurheartj/ehac237。适用人群：成人肺高血压。</w:t>
      </w:r>
    </w:p>
    <w:p>
      <w:r>
        <w:t>本模块对应证据：右心导管血流动力学与临床分组。核验范围：官方入口及期刊相关正文核对。实际核验日期：2026-10-25。</w:t>
      </w:r>
    </w:p>
    <w:p>
      <w:r>
        <w:t>官方链接或DOI：https://academic.oup.com/eurheartj/article/43/38/3618/6673929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07心内科治疗决策药物管理与医嘱表达规则库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