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心血管康复二级预防与出院随访模板库</w:t>
      </w:r>
    </w:p>
    <w:p>
      <w:r>
        <w:t>文件名称：09心血管康复二级预防与出院随访模板库.docx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20项康复二级预防与出院随访。</w:t>
      </w:r>
    </w:p>
    <w:p>
      <w:r>
        <w:rPr>
          <w:b/>
        </w:rPr>
        <w:t>调用条件：</w:t>
      </w:r>
      <w:r>
        <w:t>出院前评价、带药核对及院后管理计划。</w:t>
      </w:r>
    </w:p>
    <w:p>
      <w:r>
        <w:rPr>
          <w:b/>
        </w:rPr>
        <w:t>所需患者资料：</w:t>
      </w:r>
      <w:r>
        <w:t>实际出院诊断、治疗状态、残余问题、处方及耐受和随访资源。</w:t>
      </w:r>
    </w:p>
    <w:p>
      <w:r>
        <w:rPr>
          <w:b/>
        </w:rPr>
        <w:t>医学分析流程：</w:t>
      </w:r>
      <w:r>
        <w:t>稳定性→风险与功能→逐药→康复复查→警示与真实教育→10。</w:t>
      </w:r>
    </w:p>
    <w:p>
      <w:r>
        <w:rPr>
          <w:b/>
        </w:rPr>
        <w:t>模块关系：</w:t>
      </w:r>
      <w:r>
        <w:t>02出院栏目07药物、相关专病，11快照和10出院链。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出院准备与正式医嘱</w:t>
        </w:r>
      </w:hyperlink>
    </w:p>
    <w:p>
      <w:pPr>
        <w:spacing w:after="0" w:line="240" w:lineRule="exact"/>
        <w:snapToGrid w:val="0"/>
      </w:pPr>
      <w:hyperlink w:anchor="s1002">
        <w:r>
          <w:t>1 冠心病二级预防</w:t>
        </w:r>
      </w:hyperlink>
    </w:p>
    <w:p>
      <w:pPr>
        <w:spacing w:after="0" w:line="240" w:lineRule="exact"/>
        <w:snapToGrid w:val="0"/>
      </w:pPr>
      <w:hyperlink w:anchor="s1003">
        <w:r>
          <w:t>2 心肌梗死后管理</w:t>
        </w:r>
      </w:hyperlink>
    </w:p>
    <w:p>
      <w:pPr>
        <w:spacing w:after="0" w:line="240" w:lineRule="exact"/>
        <w:snapToGrid w:val="0"/>
      </w:pPr>
      <w:hyperlink w:anchor="s1004">
        <w:r>
          <w:t>3 PCI术后长期管理</w:t>
        </w:r>
      </w:hyperlink>
    </w:p>
    <w:p>
      <w:pPr>
        <w:spacing w:after="0" w:line="240" w:lineRule="exact"/>
        <w:snapToGrid w:val="0"/>
      </w:pPr>
      <w:hyperlink w:anchor="s1005">
        <w:r>
          <w:t>4 心衰长期管理</w:t>
        </w:r>
      </w:hyperlink>
    </w:p>
    <w:p>
      <w:pPr>
        <w:spacing w:after="0" w:line="240" w:lineRule="exact"/>
        <w:snapToGrid w:val="0"/>
      </w:pPr>
      <w:hyperlink w:anchor="s1006">
        <w:r>
          <w:t>5 房颤长期管理</w:t>
        </w:r>
      </w:hyperlink>
    </w:p>
    <w:p>
      <w:pPr>
        <w:spacing w:after="0" w:line="240" w:lineRule="exact"/>
        <w:snapToGrid w:val="0"/>
      </w:pPr>
      <w:hyperlink w:anchor="s1007">
        <w:r>
          <w:t>6 高血压长期管理</w:t>
        </w:r>
      </w:hyperlink>
    </w:p>
    <w:p>
      <w:pPr>
        <w:spacing w:after="0" w:line="240" w:lineRule="exact"/>
        <w:snapToGrid w:val="0"/>
      </w:pPr>
      <w:hyperlink w:anchor="s1008">
        <w:r>
          <w:t>7 血脂管理</w:t>
        </w:r>
      </w:hyperlink>
    </w:p>
    <w:p>
      <w:pPr>
        <w:spacing w:after="0" w:line="240" w:lineRule="exact"/>
        <w:snapToGrid w:val="0"/>
      </w:pPr>
      <w:hyperlink w:anchor="s1009">
        <w:r>
          <w:t>8 糖尿病和其他危险因素</w:t>
        </w:r>
      </w:hyperlink>
    </w:p>
    <w:p>
      <w:pPr>
        <w:spacing w:after="0" w:line="240" w:lineRule="exact"/>
        <w:snapToGrid w:val="0"/>
      </w:pPr>
      <w:hyperlink w:anchor="s1010">
        <w:r>
          <w:t>9 吸烟管理</w:t>
        </w:r>
      </w:hyperlink>
    </w:p>
    <w:p>
      <w:pPr>
        <w:spacing w:after="0" w:line="240" w:lineRule="exact"/>
        <w:snapToGrid w:val="0"/>
      </w:pPr>
      <w:hyperlink w:anchor="s1011">
        <w:r>
          <w:t>10 康复评估</w:t>
        </w:r>
      </w:hyperlink>
    </w:p>
    <w:p>
      <w:pPr>
        <w:spacing w:after="0" w:line="240" w:lineRule="exact"/>
        <w:snapToGrid w:val="0"/>
      </w:pPr>
      <w:hyperlink w:anchor="s1012">
        <w:r>
          <w:t>11 活动运动指导</w:t>
        </w:r>
      </w:hyperlink>
    </w:p>
    <w:p>
      <w:pPr>
        <w:spacing w:after="0" w:line="240" w:lineRule="exact"/>
        <w:snapToGrid w:val="0"/>
      </w:pPr>
      <w:hyperlink w:anchor="s1013">
        <w:r>
          <w:t>12 饮食生活方式</w:t>
        </w:r>
      </w:hyperlink>
    </w:p>
    <w:p>
      <w:pPr>
        <w:spacing w:after="0" w:line="240" w:lineRule="exact"/>
        <w:snapToGrid w:val="0"/>
      </w:pPr>
      <w:hyperlink w:anchor="s1014">
        <w:r>
          <w:t>13 出院药物核对</w:t>
        </w:r>
      </w:hyperlink>
    </w:p>
    <w:p>
      <w:pPr>
        <w:spacing w:after="0" w:line="240" w:lineRule="exact"/>
        <w:snapToGrid w:val="0"/>
      </w:pPr>
      <w:hyperlink w:anchor="s1015">
        <w:r>
          <w:t>14 抗凝抗血小板教育</w:t>
        </w:r>
      </w:hyperlink>
    </w:p>
    <w:p>
      <w:pPr>
        <w:spacing w:after="0" w:line="240" w:lineRule="exact"/>
        <w:snapToGrid w:val="0"/>
      </w:pPr>
      <w:hyperlink w:anchor="s1016">
        <w:r>
          <w:t>15 心功能随访</w:t>
        </w:r>
      </w:hyperlink>
    </w:p>
    <w:p>
      <w:pPr>
        <w:spacing w:after="0" w:line="240" w:lineRule="exact"/>
        <w:snapToGrid w:val="0"/>
      </w:pPr>
      <w:hyperlink w:anchor="s1017">
        <w:r>
          <w:t>16 心电与心超复查</w:t>
        </w:r>
      </w:hyperlink>
    </w:p>
    <w:p>
      <w:pPr>
        <w:spacing w:after="0" w:line="240" w:lineRule="exact"/>
        <w:snapToGrid w:val="0"/>
      </w:pPr>
      <w:hyperlink w:anchor="s1018">
        <w:r>
          <w:t>17 介入后随访</w:t>
        </w:r>
      </w:hyperlink>
    </w:p>
    <w:p>
      <w:pPr>
        <w:spacing w:after="0" w:line="240" w:lineRule="exact"/>
        <w:snapToGrid w:val="0"/>
      </w:pPr>
      <w:hyperlink w:anchor="s1019">
        <w:r>
          <w:t>18 植入器械随访</w:t>
        </w:r>
      </w:hyperlink>
    </w:p>
    <w:p>
      <w:pPr>
        <w:spacing w:after="0" w:line="240" w:lineRule="exact"/>
        <w:snapToGrid w:val="0"/>
      </w:pPr>
      <w:hyperlink w:anchor="s1020">
        <w:r>
          <w:t>19 恶化警示症状</w:t>
        </w:r>
      </w:hyperlink>
    </w:p>
    <w:p>
      <w:pPr>
        <w:spacing w:after="0" w:line="240" w:lineRule="exact"/>
        <w:snapToGrid w:val="0"/>
      </w:pPr>
      <w:hyperlink w:anchor="s1021">
        <w:r>
          <w:t>20 再次就诊急诊指征</w:t>
        </w:r>
      </w:hyperlink>
    </w:p>
    <w:p>
      <w:pPr>
        <w:spacing w:after="0" w:line="240" w:lineRule="exact"/>
        <w:snapToGrid w:val="0"/>
      </w:pPr>
      <w:hyperlink w:anchor="s1022">
        <w:r>
          <w:t>完整出院医嘱的教学格式</w:t>
        </w:r>
      </w:hyperlink>
    </w:p>
    <w:p>
      <w:pPr>
        <w:spacing w:after="0" w:line="240" w:lineRule="exact"/>
        <w:snapToGrid w:val="0"/>
      </w:pPr>
      <w:hyperlink w:anchor="s1023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24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出院准备与正式医嘱</w:t>
      </w:r>
      <w:bookmarkEnd w:id="1001"/>
    </w:p>
    <w:p>
      <w:r>
        <w:t>不能把尚未完成操作或待回报结果写成已完成正常。明确残余淤血、活动性缺血、心律、伤口及装置、未解决问题与转诊。教育和知情只有实际完成才写“已告知”；计划教育用拟。实际预约日期等置于框外对应时间信息或医院专用预约字段。</w:t>
      </w:r>
    </w:p>
    <w:p>
      <w:bookmarkStart w:id="1002" w:name="s1002"/>
      <w:pPr>
        <w:pStyle w:val="Heading1"/>
      </w:pPr>
      <w:r>
        <w:t>1 冠心病二级预防</w:t>
      </w:r>
      <w:bookmarkEnd w:id="1002"/>
    </w:p>
    <w:p>
      <w:r>
        <w:rPr>
          <w:b/>
        </w:rPr>
        <w:t>资料与适用：</w:t>
      </w:r>
      <w:r>
        <w:t>已确诊ASCVD、实际药物及危险因素</w:t>
      </w:r>
    </w:p>
    <w:p>
      <w:r>
        <w:rPr>
          <w:b/>
        </w:rPr>
        <w:t>个体化规则：</w:t>
      </w:r>
      <w:r>
        <w:t>抗栓适应证、调脂耐受、血压糖代谢、戒烟活动与复发胸痛</w:t>
      </w:r>
    </w:p>
    <w:p>
      <w:r>
        <w:rPr>
          <w:b/>
        </w:rPr>
        <w:t>联合模块：</w:t>
      </w:r>
      <w:r>
        <w:t>101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〈根据已确诊ASCVD、实际药物及危险因素确定的本项实际评估〉。〈冠心病二级预防的经确认个体化措施、复查目的及安排〉。〈与本病风险相符的具体就医指征〉。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3" w:name="s1003"/>
      <w:pPr>
        <w:pStyle w:val="Heading1"/>
      </w:pPr>
      <w:r>
        <w:t>2 心肌梗死后管理</w:t>
      </w:r>
      <w:bookmarkEnd w:id="1003"/>
    </w:p>
    <w:p>
      <w:r>
        <w:rPr>
          <w:b/>
        </w:rPr>
        <w:t>资料与适用：</w:t>
      </w:r>
      <w:r>
        <w:t>梗死与再灌注、LVEF、残余病变及心律</w:t>
      </w:r>
    </w:p>
    <w:p>
      <w:r>
        <w:rPr>
          <w:b/>
        </w:rPr>
        <w:t>个体化规则：</w:t>
      </w:r>
      <w:r>
        <w:t>心衰和猝死风险复评、康复及持续胸痛气促就医</w:t>
      </w:r>
    </w:p>
    <w:p>
      <w:r>
        <w:rPr>
          <w:b/>
        </w:rPr>
        <w:t>联合模块：</w:t>
      </w:r>
      <w:r>
        <w:t>101/102/103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〈根据梗死与再灌注、LVEF、残余病变及心律确定的本项实际评估〉。〈心肌梗死后管理的经确认个体化措施、复查目的及安排〉。〈与本病风险相符的具体就医指征〉。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4" w:name="s1004"/>
      <w:pPr>
        <w:pStyle w:val="Heading1"/>
      </w:pPr>
      <w:r>
        <w:t>3 PCI术后长期管理</w:t>
      </w:r>
      <w:bookmarkEnd w:id="1004"/>
    </w:p>
    <w:p>
      <w:r>
        <w:rPr>
          <w:b/>
        </w:rPr>
        <w:t>资料与适用：</w:t>
      </w:r>
      <w:r>
        <w:t>实际靶病变器材、抗栓组合和出血风险</w:t>
      </w:r>
    </w:p>
    <w:p>
      <w:r>
        <w:rPr>
          <w:b/>
        </w:rPr>
        <w:t>个体化规则：</w:t>
      </w:r>
      <w:r>
        <w:t>药物依从、不得自行中断、穿刺和残余病变计划</w:t>
      </w:r>
    </w:p>
    <w:p>
      <w:r>
        <w:rPr>
          <w:b/>
        </w:rPr>
        <w:t>联合模块：</w:t>
      </w:r>
      <w:r>
        <w:t>101/107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〈根据实际靶病变器材、抗栓组合和出血风险确定的本项实际评估〉。〈PCI术后长期管理的经确认个体化措施、复查目的及安排〉。〈与本病风险相符的具体就医指征〉。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5" w:name="s1005"/>
      <w:pPr>
        <w:pStyle w:val="Heading1"/>
      </w:pPr>
      <w:r>
        <w:t>4 心衰长期管理</w:t>
      </w:r>
      <w:bookmarkEnd w:id="1005"/>
    </w:p>
    <w:p>
      <w:r>
        <w:rPr>
          <w:b/>
        </w:rPr>
        <w:t>资料与适用：</w:t>
      </w:r>
      <w:r>
        <w:t>淤血灌注、心室功能、出院方案及肾电解质</w:t>
      </w:r>
    </w:p>
    <w:p>
      <w:r>
        <w:rPr>
          <w:b/>
        </w:rPr>
        <w:t>个体化规则：</w:t>
      </w:r>
      <w:r>
        <w:t>体重症状自监测、药物滴定与早期复诊、低灌注或气促升级</w:t>
      </w:r>
    </w:p>
    <w:p>
      <w:r>
        <w:rPr>
          <w:b/>
        </w:rPr>
        <w:t>联合模块：</w:t>
      </w:r>
      <w:r>
        <w:t>102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〈根据淤血灌注、心室功能、出院方案及肾电解质确定的本项实际评估〉。〈心衰长期管理的经确认个体化措施、复查目的及安排〉。〈与本病风险相符的具体就医指征〉。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6" w:name="s1006"/>
      <w:pPr>
        <w:pStyle w:val="Heading1"/>
      </w:pPr>
      <w:r>
        <w:t>5 房颤长期管理</w:t>
      </w:r>
      <w:bookmarkEnd w:id="1006"/>
    </w:p>
    <w:p>
      <w:r>
        <w:rPr>
          <w:b/>
        </w:rPr>
        <w:t>资料与适用：</w:t>
      </w:r>
      <w:r>
        <w:t>心律、发作与抗凝适应证、肝肾出血</w:t>
      </w:r>
    </w:p>
    <w:p>
      <w:r>
        <w:rPr>
          <w:b/>
        </w:rPr>
        <w:t>个体化规则：</w:t>
      </w:r>
      <w:r>
        <w:t>抗凝依从与复评、控率节律、卒中出血警示</w:t>
      </w:r>
    </w:p>
    <w:p>
      <w:r>
        <w:rPr>
          <w:b/>
        </w:rPr>
        <w:t>联合模块：</w:t>
      </w:r>
      <w:r>
        <w:t>103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〈根据心律、发作与抗凝适应证、肝肾出血确定的本项实际评估〉。〈房颤长期管理的经确认个体化措施、复查目的及安排〉。〈与本病风险相符的具体就医指征〉。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7" w:name="s1007"/>
      <w:pPr>
        <w:pStyle w:val="Heading1"/>
      </w:pPr>
      <w:r>
        <w:t>6 高血压长期管理</w:t>
      </w:r>
      <w:bookmarkEnd w:id="1007"/>
    </w:p>
    <w:p>
      <w:r>
        <w:rPr>
          <w:b/>
        </w:rPr>
        <w:t>资料与适用：</w:t>
      </w:r>
      <w:r>
        <w:t>规范血压、靶器官、当前处方和耐受</w:t>
      </w:r>
    </w:p>
    <w:p>
      <w:r>
        <w:rPr>
          <w:b/>
        </w:rPr>
        <w:t>个体化规则：</w:t>
      </w:r>
      <w:r>
        <w:t>家庭测量、体位不适、生活方式及复查</w:t>
      </w:r>
    </w:p>
    <w:p>
      <w:r>
        <w:rPr>
          <w:b/>
        </w:rPr>
        <w:t>联合模块：</w:t>
      </w:r>
      <w:r>
        <w:t>104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〈根据规范血压、靶器官、当前处方和耐受确定的本项实际评估〉。〈高血压长期管理的经确认个体化措施、复查目的及安排〉。〈与本病风险相符的具体就医指征〉。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8" w:name="s1008"/>
      <w:pPr>
        <w:pStyle w:val="Heading1"/>
      </w:pPr>
      <w:r>
        <w:t>7 血脂管理</w:t>
      </w:r>
      <w:bookmarkEnd w:id="1008"/>
    </w:p>
    <w:p>
      <w:r>
        <w:rPr>
          <w:b/>
        </w:rPr>
        <w:t>资料与适用：</w:t>
      </w:r>
      <w:r>
        <w:t>ASCVD风险、原值方法、用药及耐受</w:t>
      </w:r>
    </w:p>
    <w:p>
      <w:r>
        <w:rPr>
          <w:b/>
        </w:rPr>
        <w:t>个体化规则：</w:t>
      </w:r>
      <w:r>
        <w:t>按采用指南确定个体目标与复测，肌痛等不良反应评估</w:t>
      </w:r>
    </w:p>
    <w:p>
      <w:r>
        <w:rPr>
          <w:b/>
        </w:rPr>
        <w:t>联合模块：</w:t>
      </w:r>
      <w:r>
        <w:t>101/104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〈根据ASCVD风险、原值方法、用药及耐受确定的本项实际评估〉。〈血脂管理的经确认个体化措施、复查目的及安排〉。〈与本病风险相符的具体就医指征〉。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09" w:name="s1009"/>
      <w:pPr>
        <w:pStyle w:val="Heading1"/>
      </w:pPr>
      <w:r>
        <w:t>8 糖尿病和其他危险因素</w:t>
      </w:r>
      <w:bookmarkEnd w:id="1009"/>
    </w:p>
    <w:p>
      <w:r>
        <w:rPr>
          <w:b/>
        </w:rPr>
        <w:t>资料与适用：</w:t>
      </w:r>
      <w:r>
        <w:t>确诊依据、真实血糖HbA1c、体重肾功能</w:t>
      </w:r>
    </w:p>
    <w:p>
      <w:r>
        <w:rPr>
          <w:b/>
        </w:rPr>
        <w:t>个体化规则：</w:t>
      </w:r>
      <w:r>
        <w:t>低血糖预防、个体目标和联合专科，不自动套处方</w:t>
      </w:r>
    </w:p>
    <w:p>
      <w:r>
        <w:rPr>
          <w:b/>
        </w:rPr>
        <w:t>联合模块：</w:t>
      </w:r>
      <w:r>
        <w:t>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〈根据确诊依据、真实血糖HbA1c、体重肾功能确定的本项实际评估〉。〈糖尿病和其他危险因素的经确认个体化措施、复查目的及安排〉。〈与本病风险相符的具体就医指征〉。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0" w:name="s1010"/>
      <w:pPr>
        <w:pStyle w:val="Heading1"/>
      </w:pPr>
      <w:r>
        <w:t>9 吸烟管理</w:t>
      </w:r>
      <w:bookmarkEnd w:id="1010"/>
    </w:p>
    <w:p>
      <w:r>
        <w:rPr>
          <w:b/>
        </w:rPr>
        <w:t>资料与适用：</w:t>
      </w:r>
      <w:r>
        <w:t>烟种、量、年限和戒烟意愿</w:t>
      </w:r>
    </w:p>
    <w:p>
      <w:r>
        <w:rPr>
          <w:b/>
        </w:rPr>
        <w:t>个体化规则：</w:t>
      </w:r>
      <w:r>
        <w:t>记录真实戒烟沟通，药物戒烟需医师评估，不假定已戒</w:t>
      </w:r>
    </w:p>
    <w:p>
      <w:r>
        <w:rPr>
          <w:b/>
        </w:rPr>
        <w:t>联合模块：</w:t>
      </w:r>
      <w:r>
        <w:t>09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〈根据烟种、量、年限和戒烟意愿确定的本项实际评估〉。〈吸烟管理的经确认个体化措施、复查目的及安排〉。〈与本病风险相符的具体就医指征〉。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1" w:name="s1011"/>
      <w:pPr>
        <w:pStyle w:val="Heading1"/>
      </w:pPr>
      <w:r>
        <w:t>10 康复评估</w:t>
      </w:r>
      <w:bookmarkEnd w:id="1011"/>
    </w:p>
    <w:p>
      <w:r>
        <w:rPr>
          <w:b/>
        </w:rPr>
        <w:t>资料与适用：</w:t>
      </w:r>
      <w:r>
        <w:t>急性事件稳定性、活动能力、心电心功能与合并症</w:t>
      </w:r>
    </w:p>
    <w:p>
      <w:r>
        <w:rPr>
          <w:b/>
        </w:rPr>
        <w:t>个体化规则：</w:t>
      </w:r>
      <w:r>
        <w:t>先判断适合阶段，存在活动性缺血不稳定心律或失代偿先评估</w:t>
      </w:r>
    </w:p>
    <w:p>
      <w:r>
        <w:rPr>
          <w:b/>
        </w:rPr>
        <w:t>联合模块：</w:t>
      </w:r>
      <w:r>
        <w:t>101/102/103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〈根据急性事件稳定性、活动能力、心电心功能与合并症确定的本项实际评估〉。〈康复评估的经确认个体化措施、复查目的及安排〉。〈与本病风险相符的具体就医指征〉。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2" w:name="s1012"/>
      <w:pPr>
        <w:pStyle w:val="Heading1"/>
      </w:pPr>
      <w:r>
        <w:t>11 活动运动指导</w:t>
      </w:r>
      <w:bookmarkEnd w:id="1012"/>
    </w:p>
    <w:p>
      <w:r>
        <w:rPr>
          <w:b/>
        </w:rPr>
        <w:t>资料与适用：</w:t>
      </w:r>
      <w:r>
        <w:t>基线和当前耐量、残余缺血、心律及装置</w:t>
      </w:r>
    </w:p>
    <w:p>
      <w:r>
        <w:rPr>
          <w:b/>
        </w:rPr>
        <w:t>个体化规则：</w:t>
      </w:r>
      <w:r>
        <w:t>个体频度强度与停止条件由康复方案确认，不统一套剧烈运动或绝对卧床</w:t>
      </w:r>
    </w:p>
    <w:p>
      <w:r>
        <w:rPr>
          <w:b/>
        </w:rPr>
        <w:t>联合模块：</w:t>
      </w:r>
      <w:r>
        <w:t>09/107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〈根据基线和当前耐量、残余缺血、心律及装置确定的本项实际评估〉。〈活动运动指导的经确认个体化措施、复查目的及安排〉。〈与本病风险相符的具体就医指征〉。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3" w:name="s1013"/>
      <w:pPr>
        <w:pStyle w:val="Heading1"/>
      </w:pPr>
      <w:r>
        <w:t>12 饮食生活方式</w:t>
      </w:r>
      <w:bookmarkEnd w:id="1013"/>
    </w:p>
    <w:p>
      <w:r>
        <w:rPr>
          <w:b/>
        </w:rPr>
        <w:t>资料与适用：</w:t>
      </w:r>
      <w:r>
        <w:t>容量、血压、肾功能糖脂和营养状态</w:t>
      </w:r>
    </w:p>
    <w:p>
      <w:r>
        <w:rPr>
          <w:b/>
        </w:rPr>
        <w:t>个体化规则：</w:t>
      </w:r>
      <w:r>
        <w:t>盐液饮食个体化，不给所有患者同一液体限量</w:t>
      </w:r>
    </w:p>
    <w:p>
      <w:r>
        <w:rPr>
          <w:b/>
        </w:rPr>
        <w:t>联合模块：</w:t>
      </w:r>
      <w:r>
        <w:t>102/104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〈根据容量、血压、肾功能糖脂和营养状态确定的本项实际评估〉。〈饮食生活方式的经确认个体化措施、复查目的及安排〉。〈与本病风险相符的具体就医指征〉。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4" w:name="s1014"/>
      <w:pPr>
        <w:pStyle w:val="Heading1"/>
      </w:pPr>
      <w:r>
        <w:t>13 出院药物核对</w:t>
      </w:r>
      <w:bookmarkEnd w:id="1014"/>
    </w:p>
    <w:p>
      <w:r>
        <w:rPr>
          <w:b/>
        </w:rPr>
        <w:t>资料与适用：</w:t>
      </w:r>
      <w:r>
        <w:t>最终处方及每项药物执行或停用状态</w:t>
      </w:r>
    </w:p>
    <w:p>
      <w:r>
        <w:rPr>
          <w:b/>
        </w:rPr>
        <w:t>个体化规则：</w:t>
      </w:r>
      <w:r>
        <w:t>逐药名称剂量途径频次疗程/复评、目的及风险；与病程医嘱一致</w:t>
      </w:r>
    </w:p>
    <w:p>
      <w:r>
        <w:rPr>
          <w:b/>
        </w:rPr>
        <w:t>联合模块：</w:t>
      </w:r>
      <w:r>
        <w:t>07/10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〈根据最终处方及每项药物执行或停用状态确定的本项实际评估〉。〈出院药物核对的经确认个体化措施、复查目的及安排〉。〈与本病风险相符的具体就医指征〉。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5" w:name="s1015"/>
      <w:pPr>
        <w:pStyle w:val="Heading1"/>
      </w:pPr>
      <w:r>
        <w:t>14 抗凝抗血小板教育</w:t>
      </w:r>
      <w:bookmarkEnd w:id="1015"/>
    </w:p>
    <w:p>
      <w:r>
        <w:rPr>
          <w:b/>
        </w:rPr>
        <w:t>资料与适用：</w:t>
      </w:r>
      <w:r>
        <w:t>具体药物、适应证、合并治疗和出血</w:t>
      </w:r>
    </w:p>
    <w:p>
      <w:r>
        <w:rPr>
          <w:b/>
        </w:rPr>
        <w:t>个体化规则：</w:t>
      </w:r>
      <w:r>
        <w:t>漏服、出血与操作就诊时联系责任团队，具体指导按药品和已确认方案</w:t>
      </w:r>
    </w:p>
    <w:p>
      <w:r>
        <w:rPr>
          <w:b/>
        </w:rPr>
        <w:t>联合模块：</w:t>
      </w:r>
      <w:r>
        <w:t>07/103/107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〈根据具体药物、适应证、合并治疗和出血确定的本项实际评估〉。〈抗凝抗血小板教育的经确认个体化措施、复查目的及安排〉。〈与本病风险相符的具体就医指征〉。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6" w:name="s1016"/>
      <w:pPr>
        <w:pStyle w:val="Heading1"/>
      </w:pPr>
      <w:r>
        <w:t>15 心功能随访</w:t>
      </w:r>
      <w:bookmarkEnd w:id="1016"/>
    </w:p>
    <w:p>
      <w:r>
        <w:rPr>
          <w:b/>
        </w:rPr>
        <w:t>资料与适用：</w:t>
      </w:r>
      <w:r>
        <w:t>症状体征、活动耐量、LVEF与容量分开</w:t>
      </w:r>
    </w:p>
    <w:p>
      <w:r>
        <w:rPr>
          <w:b/>
        </w:rPr>
        <w:t>个体化规则：</w:t>
      </w:r>
      <w:r>
        <w:t>心超和利钠肽按具体问题复评，不以LVEF代替NYHA</w:t>
      </w:r>
    </w:p>
    <w:p>
      <w:r>
        <w:rPr>
          <w:b/>
        </w:rPr>
        <w:t>联合模块：</w:t>
      </w:r>
      <w:r>
        <w:t>102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〈根据症状体征、活动耐量、LVEF与容量分开确定的本项实际评估〉。〈心功能随访的经确认个体化措施、复查目的及安排〉。〈与本病风险相符的具体就医指征〉。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7" w:name="s1017"/>
      <w:pPr>
        <w:pStyle w:val="Heading1"/>
      </w:pPr>
      <w:r>
        <w:t>16 心电与心超复查</w:t>
      </w:r>
      <w:bookmarkEnd w:id="1017"/>
    </w:p>
    <w:p>
      <w:r>
        <w:rPr>
          <w:b/>
        </w:rPr>
        <w:t>资料与适用：</w:t>
      </w:r>
      <w:r>
        <w:t>实际异常、症状和治疗变化</w:t>
      </w:r>
    </w:p>
    <w:p>
      <w:r>
        <w:rPr>
          <w:b/>
        </w:rPr>
        <w:t>个体化规则：</w:t>
      </w:r>
      <w:r>
        <w:t>列明每项复查目的及适宜节点，未预约不写已预约</w:t>
      </w:r>
    </w:p>
    <w:p>
      <w:r>
        <w:rPr>
          <w:b/>
        </w:rPr>
        <w:t>联合模块：</w:t>
      </w:r>
      <w:r>
        <w:t>04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〈根据实际异常、症状和治疗变化确定的本项实际评估〉。〈心电与心超复查的经确认个体化措施、复查目的及安排〉。〈与本病风险相符的具体就医指征〉。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8" w:name="s1018"/>
      <w:pPr>
        <w:pStyle w:val="Heading1"/>
      </w:pPr>
      <w:r>
        <w:t>17 介入后随访</w:t>
      </w:r>
      <w:bookmarkEnd w:id="1018"/>
    </w:p>
    <w:p>
      <w:r>
        <w:rPr>
          <w:b/>
        </w:rPr>
        <w:t>资料与适用：</w:t>
      </w:r>
      <w:r>
        <w:t>真实术式、穿刺或伤口、抗栓与残余问题</w:t>
      </w:r>
    </w:p>
    <w:p>
      <w:r>
        <w:rPr>
          <w:b/>
        </w:rPr>
        <w:t>个体化规则：</w:t>
      </w:r>
      <w:r>
        <w:t>根据冠脉、消融、结构性介入分别安排，不自动常规复查造影</w:t>
      </w:r>
    </w:p>
    <w:p>
      <w:r>
        <w:rPr>
          <w:b/>
        </w:rPr>
        <w:t>联合模块：</w:t>
      </w:r>
      <w:r>
        <w:t>107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〈根据真实术式、穿刺或伤口、抗栓与残余问题确定的本项实际评估〉。〈介入后随访的经确认个体化措施、复查目的及安排〉。〈与本病风险相符的具体就医指征〉。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19" w:name="s1019"/>
      <w:pPr>
        <w:pStyle w:val="Heading1"/>
      </w:pPr>
      <w:r>
        <w:t>18 植入器械随访</w:t>
      </w:r>
      <w:bookmarkEnd w:id="1019"/>
    </w:p>
    <w:p>
      <w:r>
        <w:rPr>
          <w:b/>
        </w:rPr>
        <w:t>资料与适用：</w:t>
      </w:r>
      <w:r>
        <w:t>真实型号类别、植入与程控、伤口和事件</w:t>
      </w:r>
    </w:p>
    <w:p>
      <w:r>
        <w:rPr>
          <w:b/>
        </w:rPr>
        <w:t>个体化规则：</w:t>
      </w:r>
      <w:r>
        <w:t>门诊或远程程控、感染电击晕厥警示、活动与设备注意事项</w:t>
      </w:r>
    </w:p>
    <w:p>
      <w:r>
        <w:rPr>
          <w:b/>
        </w:rPr>
        <w:t>联合模块：</w:t>
      </w:r>
      <w:r>
        <w:t>103/107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〈根据真实型号类别、植入与程控、伤口和事件确定的本项实际评估〉。〈植入器械随访的经确认个体化措施、复查目的及安排〉。〈与本病风险相符的具体就医指征〉。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20" w:name="s1020"/>
      <w:pPr>
        <w:pStyle w:val="Heading1"/>
      </w:pPr>
      <w:r>
        <w:t>19 恶化警示症状</w:t>
      </w:r>
      <w:bookmarkEnd w:id="1020"/>
    </w:p>
    <w:p>
      <w:r>
        <w:rPr>
          <w:b/>
        </w:rPr>
        <w:t>资料与适用：</w:t>
      </w:r>
      <w:r>
        <w:t>本病实际风险和出院支持状态</w:t>
      </w:r>
    </w:p>
    <w:p>
      <w:r>
        <w:rPr>
          <w:b/>
        </w:rPr>
        <w:t>个体化规则：</w:t>
      </w:r>
      <w:r>
        <w:t>持续或加重胸痛气促、晕厥、偏瘫言语障碍、黑便呕血等个体选择</w:t>
      </w:r>
    </w:p>
    <w:p>
      <w:r>
        <w:rPr>
          <w:b/>
        </w:rPr>
        <w:t>联合模块：</w:t>
      </w:r>
      <w:r>
        <w:t>06/108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〈根据本病实际风险和出院支持状态确定的本项实际评估〉。〈恶化警示症状的经确认个体化措施、复查目的及安排〉。〈与本病风险相符的具体就医指征〉。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21" w:name="s1021"/>
      <w:pPr>
        <w:pStyle w:val="Heading1"/>
      </w:pPr>
      <w:r>
        <w:t>20 再次就诊急诊指征</w:t>
      </w:r>
      <w:bookmarkEnd w:id="1021"/>
    </w:p>
    <w:p>
      <w:r>
        <w:rPr>
          <w:b/>
        </w:rPr>
        <w:t>资料与适用：</w:t>
      </w:r>
      <w:r>
        <w:t>当前未决问题、复查安排与警示</w:t>
      </w:r>
    </w:p>
    <w:p>
      <w:r>
        <w:rPr>
          <w:b/>
        </w:rPr>
        <w:t>个体化规则：</w:t>
      </w:r>
      <w:r>
        <w:t>明确何时急诊、何时提前复诊及对应科室，不能只写不适随诊</w:t>
      </w:r>
    </w:p>
    <w:p>
      <w:r>
        <w:rPr>
          <w:b/>
        </w:rPr>
        <w:t>联合模块：</w:t>
      </w:r>
      <w:r>
        <w:t>09/10</w:t>
      </w:r>
    </w:p>
    <w:p>
      <w:pPr>
        <w:pStyle w:val="Meta"/>
      </w:pPr>
      <w:r>
        <w:t>〈实际日期时间〉 出院医嘱相关栏目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〈根据当前未决问题、复查安排与警示确定的本项实际评估〉。〈再次就诊急诊指征的经确认个体化措施、复查目的及安排〉。〈与本病风险相符的具体就医指征〉。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不得按常规补药或假定已完成教育；建议符合出院实际状态、患者能力和执行条件。</w:t>
      </w:r>
    </w:p>
    <w:p>
      <w:bookmarkStart w:id="1022" w:name="s1022"/>
      <w:pPr>
        <w:pStyle w:val="Heading1"/>
      </w:pPr>
      <w:r>
        <w:t>完整出院医嘱的教学格式</w:t>
      </w:r>
      <w:bookmarkEnd w:id="1022"/>
    </w:p>
    <w:p>
      <w:pPr>
        <w:pStyle w:val="Meta"/>
      </w:pPr>
      <w:r>
        <w:t>〈实际日期时间〉 出院医嘱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带药：〈核对后的每项药名剂量途径频次、疗程或复评节点〉。</w:t>
      </w:r>
    </w:p>
    <w:p>
      <w:pPr>
        <w:pStyle w:val="Code"/>
        <w:keepNext/>
        <w:keepLines/>
        <w:shd w:fill="F3F3F3"/>
      </w:pPr>
      <w:r>
        <w:t>监测与复查：〈血压心率体重等具体指标、必要检验心电心超程控及目的〉。</w:t>
      </w:r>
    </w:p>
    <w:p>
      <w:pPr>
        <w:pStyle w:val="Code"/>
        <w:keepNext/>
        <w:keepLines/>
        <w:shd w:fill="F3F3F3"/>
      </w:pPr>
      <w:r>
        <w:t>活动与生活方式：〈个体康复、饮食和活动界限〉。</w:t>
      </w:r>
    </w:p>
    <w:p>
      <w:pPr>
        <w:pStyle w:val="Code"/>
        <w:keepNext/>
        <w:keepLines/>
        <w:shd w:fill="F3F3F3"/>
      </w:pPr>
      <w:r>
        <w:t>随访：〈明确科室、实际安排及待完成事项〉。</w:t>
      </w:r>
    </w:p>
    <w:p>
      <w:pPr>
        <w:pStyle w:val="Code"/>
        <w:keepNext/>
        <w:keepLines/>
        <w:shd w:fill="F3F3F3"/>
      </w:pPr>
      <w:r>
        <w:t>紧急就医：〈与本患者相关的具体危险症状〉。</w:t>
      </w:r>
    </w:p>
    <w:p>
      <w:pPr>
        <w:pStyle w:val="Code"/>
      </w:pPr>
      <w:r>
        <w:t>```</w:t>
      </w:r>
    </w:p>
    <w:p>
      <w:bookmarkStart w:id="1023" w:name="s1023"/>
      <w:pPr>
        <w:pStyle w:val="Heading1"/>
      </w:pPr>
      <w:r>
        <w:t>典型应用与模块协作</w:t>
      </w:r>
      <w:bookmarkEnd w:id="1023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不套统一抗栓疗程、运动强度和限液量，不写未实施操作或未签署教育。</w:t>
      </w:r>
    </w:p>
    <w:p>
      <w:r>
        <w:rPr>
          <w:b/>
        </w:rPr>
        <w:t>质量控制标准：</w:t>
      </w:r>
      <w:r>
        <w:t>20项覆盖，带药和停药与11一致，残余问题交接及急诊警示具体。</w:t>
      </w:r>
    </w:p>
    <w:p>
      <w:bookmarkStart w:id="1024" w:name="s1024"/>
      <w:pPr>
        <w:pStyle w:val="Heading1"/>
      </w:pPr>
      <w:r>
        <w:t>指南证据来源与版本更新</w:t>
      </w:r>
      <w:bookmarkEnd w:id="1024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BP 中国高血压防治指南（2024年修订版）</w:t>
      </w:r>
    </w:p>
    <w:p>
      <w:r>
        <w:t>发布机构：中国高血压防治指南修订委员会、高血压联盟（中国）等联合组织。年份版本：2024；DOI 10.16439/j.issn.1673-7245.2024.07.002。适用人群：中国成人高血压防治。</w:t>
      </w:r>
    </w:p>
    <w:p>
      <w:r>
        <w:t>本模块对应证据：测量、诊断分级、靶器官与风险评估。核验范围：出版机构页面及元数据核对；登录受限全文未逐条核验。实际核验日期：2026-10-25。</w:t>
      </w:r>
    </w:p>
    <w:p>
      <w:r>
        <w:t>官方链接或DOI：https://cjournal.hep.com.cn/1673-7245/CN/10.16439/j.issn.1673-7245.2024.07.002</w:t>
      </w:r>
    </w:p>
    <w:p>
      <w:pPr>
        <w:pStyle w:val="Heading2"/>
      </w:pPr>
      <w:r>
        <w:t>EP 2021 ESC Guidelines on cardiac pacing and cardiac resynchronization therapy</w:t>
      </w:r>
    </w:p>
    <w:p>
      <w:r>
        <w:t>发布机构：ESC。年份版本：2021；DOI 10.1093/eurheartj/ehab364。适用人群：缓慢性心律失常及CRT候选者。</w:t>
      </w:r>
    </w:p>
    <w:p>
      <w:r>
        <w:t>本模块对应证据：起搏证据、装置选择及随访框架。核验范围：官方入口及期刊正文核对。实际核验日期：2026-10-22。</w:t>
      </w:r>
    </w:p>
    <w:p>
      <w:r>
        <w:t>官方链接或DOI：https://academic.oup.com/eurheartj/article/42/35/3427/6358547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09心血管康复二级预防与出院随访模板库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