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108 心血管急危重症与CCU管理专病模板库</w:t>
      </w:r>
    </w:p>
    <w:p>
      <w:r>
        <w:t>文件名称：108心血管急危重症与CCU管理专病模板库.docx</w:t>
      </w:r>
    </w:p>
    <w:p>
      <w:r>
        <w:t>第三级 版本2.0 构建日期2026年10月25日</w:t>
      </w:r>
    </w:p>
    <w:p>
      <w:r>
        <w:rPr>
          <w:b/>
        </w:rPr>
        <w:t>模块定位与职责：</w:t>
      </w:r>
      <w:r>
        <w:t>本模块专病的证据、分型风险、治疗和27项文书体系。</w:t>
      </w:r>
    </w:p>
    <w:p>
      <w:r>
        <w:rPr>
          <w:b/>
        </w:rPr>
        <w:t>调用条件：</w:t>
      </w:r>
      <w:r>
        <w:t>11识别本病、相关检查或围术期及异常任务。</w:t>
      </w:r>
    </w:p>
    <w:p>
      <w:r>
        <w:rPr>
          <w:b/>
        </w:rPr>
        <w:t>所需患者资料：</w:t>
      </w:r>
      <w:r>
        <w:t>真实病史查体、原报告、诊断意见、医嘱执行、操作及当前快照。</w:t>
      </w:r>
    </w:p>
    <w:p>
      <w:r>
        <w:rPr>
          <w:b/>
        </w:rPr>
        <w:t>医学分析流程：</w:t>
      </w:r>
      <w:r>
        <w:t>证据→诊断分型→严重度风险→治疗取舍→具体文书→10。</w:t>
      </w:r>
    </w:p>
    <w:p>
      <w:r>
        <w:rPr>
          <w:b/>
        </w:rPr>
        <w:t>模块关系：</w:t>
      </w:r>
      <w:r>
        <w:t>01最高，11调度；02—09按文书功能；10终审；跨病联合避免重复。</w:t>
      </w:r>
    </w:p>
    <w:p>
      <w:r>
        <w:t>本库辅助责任医师书写及分析，不替代接诊、诊疗、医嘱、签名与审核。所有带变量模板仅供教学和实例化，不能原样作为真实病历。</w:t>
      </w:r>
    </w:p>
    <w:p>
      <w:pPr>
        <w:pStyle w:val="Heading1"/>
      </w:pPr>
      <w:r>
        <w:t>目录</w:t>
      </w:r>
    </w:p>
    <w:p>
      <w:pPr>
        <w:spacing w:after="0" w:line="240" w:lineRule="exact"/>
        <w:snapToGrid w:val="0"/>
      </w:pPr>
      <w:hyperlink w:anchor="s1000">
        <w:r>
          <w:t>医学文书代码框最高输出规则</w:t>
        </w:r>
      </w:hyperlink>
    </w:p>
    <w:p>
      <w:pPr>
        <w:spacing w:after="0" w:line="240" w:lineRule="exact"/>
        <w:snapToGrid w:val="0"/>
      </w:pPr>
      <w:hyperlink w:anchor="s1001">
        <w:r>
          <w:t>适用原则和诊疗事实边界</w:t>
        </w:r>
      </w:hyperlink>
    </w:p>
    <w:p>
      <w:pPr>
        <w:spacing w:after="0" w:line="240" w:lineRule="exact"/>
        <w:snapToGrid w:val="0"/>
      </w:pPr>
      <w:hyperlink w:anchor="s1002">
        <w:r>
          <w:t>1 心源性休克与急性循环衰竭</w:t>
        </w:r>
      </w:hyperlink>
    </w:p>
    <w:p>
      <w:pPr>
        <w:spacing w:after="0" w:line="240" w:lineRule="exact"/>
        <w:snapToGrid w:val="0"/>
      </w:pPr>
      <w:hyperlink w:anchor="s1003">
        <w:r>
          <w:t>2 心脏骤停与心肺复苏后管理</w:t>
        </w:r>
      </w:hyperlink>
    </w:p>
    <w:p>
      <w:pPr>
        <w:spacing w:after="0" w:line="240" w:lineRule="exact"/>
        <w:snapToGrid w:val="0"/>
      </w:pPr>
      <w:hyperlink w:anchor="s1004">
        <w:r>
          <w:t>3 急性肺水肿与恶性心律失常的CCU衔接</w:t>
        </w:r>
      </w:hyperlink>
    </w:p>
    <w:p>
      <w:pPr>
        <w:spacing w:after="0" w:line="240" w:lineRule="exact"/>
        <w:snapToGrid w:val="0"/>
      </w:pPr>
      <w:hyperlink w:anchor="s1005">
        <w:r>
          <w:t>4 冠脉与电生理围介入并发症</w:t>
        </w:r>
      </w:hyperlink>
    </w:p>
    <w:p>
      <w:pPr>
        <w:spacing w:after="0" w:line="240" w:lineRule="exact"/>
        <w:snapToGrid w:val="0"/>
      </w:pPr>
      <w:hyperlink w:anchor="s1006">
        <w:r>
          <w:t>5 CCU监护 转科抢救及医患沟通</w:t>
        </w:r>
      </w:hyperlink>
    </w:p>
    <w:p>
      <w:pPr>
        <w:spacing w:after="0" w:line="240" w:lineRule="exact"/>
        <w:snapToGrid w:val="0"/>
      </w:pPr>
      <w:hyperlink w:anchor="s1007">
        <w:r>
          <w:t>6 多器官功能障碍与临终死亡相关管理</w:t>
        </w:r>
      </w:hyperlink>
    </w:p>
    <w:p>
      <w:pPr>
        <w:spacing w:after="0" w:line="240" w:lineRule="exact"/>
        <w:snapToGrid w:val="0"/>
      </w:pPr>
      <w:hyperlink w:anchor="s1008">
        <w:r>
          <w:t>典型联合场景及禁止事项</w:t>
        </w:r>
      </w:hyperlink>
    </w:p>
    <w:p>
      <w:pPr>
        <w:spacing w:after="0" w:line="240" w:lineRule="exact"/>
        <w:snapToGrid w:val="0"/>
      </w:pPr>
      <w:hyperlink w:anchor="s1009">
        <w:r>
          <w:t>指南证据来源与版本更新</w:t>
        </w:r>
      </w:hyperlink>
    </w:p>
    <w:p>
      <w:bookmarkStart w:id="1000" w:name="s1000"/>
      <w:pPr>
        <w:pStyle w:val="Heading1"/>
        <w:pageBreakBefore/>
      </w:pPr>
      <w:r>
        <w:t>医学文书代码框最高输出规则</w:t>
      </w:r>
      <w:bookmarkEnd w:id="1000"/>
    </w:p>
    <w:p>
      <w:r>
        <w:t>继承01全部强制格式：实际日期时间和标题仅在框外；正文独立text代码框；日常病程和各级查房单段，无空行、额外空格、AI说明及变量残留。10终审后方可输出。</w:t>
      </w:r>
    </w:p>
    <w:p>
      <w:bookmarkStart w:id="1001" w:name="s1001"/>
      <w:pPr>
        <w:pStyle w:val="Heading1"/>
      </w:pPr>
      <w:r>
        <w:t>适用原则和诊疗事实边界</w:t>
      </w:r>
      <w:bookmarkEnd w:id="1001"/>
    </w:p>
    <w:p>
      <w:r>
        <w:t>下列各病均列27项；规则为一般临床组织框架，不能补写患者事实。模板变量须据实替换，病程及三级查房均为单段。疾病定义、分类和阈值按标明版本；未提供完整依据时保留疑似或待查。操作状态与治疗执行先由11锁定。</w:t>
      </w:r>
    </w:p>
    <w:p>
      <w:bookmarkStart w:id="1002" w:name="s1002"/>
      <w:pPr>
        <w:pStyle w:val="Heading1"/>
      </w:pPr>
      <w:r>
        <w:t>1 心源性休克与急性循环衰竭</w:t>
      </w:r>
      <w:bookmarkEnd w:id="1002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心脏泵衰导致组织低灌注的综合征，低血压常见但非唯一证据；要识别混合性与其他休克。</w:t>
      </w:r>
    </w:p>
    <w:p>
      <w:r>
        <w:rPr>
          <w:b/>
        </w:rPr>
        <w:t>2 临床表现：</w:t>
      </w:r>
      <w:r>
        <w:t>冷湿、少尿、意识改变、气促胸痛或迅速恶化。</w:t>
      </w:r>
    </w:p>
    <w:p>
      <w:r>
        <w:rPr>
          <w:b/>
        </w:rPr>
        <w:t>3 病史重点：</w:t>
      </w:r>
      <w:r>
        <w:t>ACS、心肌炎、瓣膜机械并发症、心律失常、容量丢失感染及近期介入。</w:t>
      </w:r>
    </w:p>
    <w:p>
      <w:r>
        <w:rPr>
          <w:b/>
        </w:rPr>
        <w:t>4 专科检查：</w:t>
      </w:r>
      <w:r>
        <w:t>意识、血压及支持条件、心率氧合、皮温毛细血管、肺淤血颈静脉和尿量。</w:t>
      </w:r>
    </w:p>
    <w:p>
      <w:r>
        <w:rPr>
          <w:b/>
        </w:rPr>
        <w:t>5 辅助检查：</w:t>
      </w:r>
      <w:r>
        <w:t>心电、床旁超声、血气乳酸、肝肾电解质血常规，必要有创血流动力学。</w:t>
      </w:r>
    </w:p>
    <w:p>
      <w:r>
        <w:rPr>
          <w:b/>
        </w:rPr>
        <w:t>6 诊断标准：</w:t>
      </w:r>
      <w:r>
        <w:t>心脏泵衰导致组织低灌注的综合征，低血压常见但非唯一证据；要识别混合性与其他休克。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低灌注、心脏异常与病因共同支持；乳酸升高或一条低血压不能独立确定心源性。</w:t>
      </w:r>
    </w:p>
    <w:p>
      <w:r>
        <w:rPr>
          <w:b/>
        </w:rPr>
        <w:t>8 鉴别诊断：</w:t>
      </w:r>
      <w:r>
        <w:t>低容量、分布性、阻塞性和混合休克，排肺栓塞、压塞及出血。</w:t>
      </w:r>
    </w:p>
    <w:p>
      <w:r>
        <w:rPr>
          <w:b/>
        </w:rPr>
        <w:t>9 分型和分期：</w:t>
      </w:r>
      <w:r>
        <w:t>病因、左右心主导、动态严重度分期；SCAI等版本及完整条件先核对。</w:t>
      </w:r>
    </w:p>
    <w:p>
      <w:r>
        <w:rPr>
          <w:b/>
        </w:rPr>
        <w:t>10 严重程度评价：</w:t>
      </w:r>
      <w:r>
        <w:t>乳酸持续升高、少尿、意识恶化和递增支持提示升级，不能仅看支持后血压。 同时记录当前器官功能和支持需求，不仅凭疾病名称。</w:t>
      </w:r>
    </w:p>
    <w:p>
      <w:r>
        <w:rPr>
          <w:b/>
        </w:rPr>
        <w:t>11 临床危险分层：</w:t>
      </w:r>
      <w:r>
        <w:t>乳酸持续升高、少尿、意识恶化和递增支持提示升级，不能仅看支持后血压。 需要评分时按07核对适用对象、版本和完整变量；缺项不计算。</w:t>
      </w:r>
    </w:p>
    <w:p>
      <w:r>
        <w:rPr>
          <w:b/>
        </w:rPr>
        <w:t>12 药物治疗原则：</w:t>
      </w:r>
      <w:r>
        <w:t>按病因和容量使用实际血管活性或正性肌力治疗，浓度剂量单位和泵速需完整，不无评估大量补液。</w:t>
      </w:r>
    </w:p>
    <w:p>
      <w:r>
        <w:rPr>
          <w:b/>
        </w:rPr>
        <w:t>13 介入和其他指征：</w:t>
      </w:r>
      <w:r>
        <w:t>紧急病因血运重建或机械并发症处理；MCS按可逆性、时机、禁忌和团队资源评估。</w:t>
      </w:r>
    </w:p>
    <w:p>
      <w:r>
        <w:rPr>
          <w:b/>
        </w:rPr>
        <w:t>14 禁忌及治疗风险：</w:t>
      </w:r>
      <w:r>
        <w:t>紧急病因血运重建或机械并发症处理；MCS按可逆性、时机、禁忌和团队资源评估。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多器官衰竭、恶性节律、出血血栓、肢体缺血与装置并发症。</w:t>
      </w:r>
    </w:p>
    <w:p>
      <w:r>
        <w:rPr>
          <w:b/>
        </w:rPr>
        <w:t>16 住院观察：</w:t>
      </w:r>
      <w:r>
        <w:t>分钟级循环及干预事件记录，追踪灌注、乳酸尿量与支持强度；复查不等于好转。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现病史：〈ACS、心肌炎、瓣膜机械并发症、心律失常、容量丢失感染及近期介入的实际病史〉。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专科查体：〈意识、血压及支持条件、心率氧合、皮温毛细血管、肺淤血颈静脉和尿量的实查结果〉。</w:t>
      </w:r>
    </w:p>
    <w:p>
      <w:pPr>
        <w:pStyle w:val="Code"/>
        <w:keepNext/>
        <w:keepLines/>
        <w:shd w:fill="F3F3F3"/>
      </w:pPr>
      <w:r>
        <w:t>辅助检查：〈心电、床旁超声、血气乳酸、肝肾电解质血常规，必要有创血流动力学的真实结果及意义〉。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ACS、心肌炎、瓣膜机械并发症、心律失常、容量丢失感染及近期介入的实际病史〉，查体〈意识、血压及支持条件、心率氧合、皮温毛细血管、肺淤血颈静脉和尿量的实查结果〉，检查〈心电、床旁超声、血气乳酸、肝肾电解质血常规，必要有创血流动力学的真实结果及意义〉。目前考虑〈本病有证据的诊断层级及支持与不足〉，需与〈低容量、分布性、阻塞性和混合休克，排肺栓塞、压塞及出血中的主要疾病及理由〉鉴别，风险〈乳酸持续升高、少尿、意识恶化和递增支持提示升级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意识、血压及支持条件、心率氧合、皮温毛细血管、肺淤血颈静脉和尿量的实查结果〉，检查〈心电、床旁超声、血气乳酸、肝肾电解质血常规，必要有创血流动力学的真实结果及意义〉。目前〈本病有证据的诊断层级及支持与不足〉，〈真实治疗执行及疗效不良反应〉，拟〈经确认继续或调整方案及理由〉，监测〈分钟级循环及干预事件记录，追踪灌注、乳酸尿量与支持强度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意识、血压及支持条件、心率氧合、皮温毛细血管、肺淤血颈静脉和尿量的实查结果〉，检查〈心电、床旁超声、血气乳酸、肝肾电解质血常规，必要有创血流动力学的真实结果及意义〉。主治医师分析：〈本病诊断依据、具体鉴别、检查意义和治疗反应的真实意见与证据〉，〈乳酸持续升高、少尿、意识恶化和递增支持提示升级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意识、血压及支持条件、心率氧合、皮温毛细血管、肺淤血颈静脉和尿量的实查结果〉，检查〈心电、床旁超声、血气乳酸、肝肾电解质血常规，必要有创血流动力学的真实结果及意义〉。副主任医师分析：〈本病分型严重度、主要风险及策略优化的真实意见与证据〉，〈乳酸持续升高、少尿、意识恶化和递增支持提示升级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意识、血压及支持条件、心率氧合、皮温毛细血管、肺淤血颈静脉和尿量的实查结果〉，检查〈心电、床旁超声、血气乳酸、肝肾电解质血常规，必要有创血流动力学的真实结果及意义〉。主任医师分析：〈本病复杂诊断、重大介入或其他治疗取舍、替代路径及预后的真实意见与证据〉，〈乳酸持续升高、少尿、意识恶化和递增支持提示升级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多器官衰竭、恶性节律、出血血栓、肢体缺血与装置并发症相关的实际异常〉，评估〈意识、血压及支持条件、心率氧合、皮温毛细血管、肺淤血颈静脉和尿量的实查结果〉，检查〈心电、床旁超声、血气乳酸、肝肾电解质血常规，必要有创血流动力学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意识、血压及支持条件、心率氧合、皮温毛细血管、肺淤血颈静脉和尿量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随访：〈解除支持后评估病因与心功能、药物耐受和康复的具体安排〉。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不能仅凭血压正常写休克纠正，不得编造泵药浓度或MCS参数。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本节使用H1、H2、CPR、C3、SHOCK；完整书目、版本、范围、实际核验日期见文末。全文或具体细则未核验时不得编造推荐等级剂量。</w:t>
      </w:r>
    </w:p>
    <w:p>
      <w:bookmarkStart w:id="1003" w:name="s1003"/>
      <w:pPr>
        <w:pStyle w:val="Heading1"/>
      </w:pPr>
      <w:r>
        <w:t>2 心脏骤停与心肺复苏后管理</w:t>
      </w:r>
      <w:bookmarkEnd w:id="1003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骤停由临床无反应、异常或无正常呼吸及循环评估确认；ROSC必须有真实自主循环证据。</w:t>
      </w:r>
    </w:p>
    <w:p>
      <w:r>
        <w:rPr>
          <w:b/>
        </w:rPr>
        <w:t>2 临床表现：</w:t>
      </w:r>
      <w:r>
        <w:t>突发无反应、无正常呼吸或循环消失；复苏后可有昏迷、休克及呼吸衰竭。</w:t>
      </w:r>
    </w:p>
    <w:p>
      <w:r>
        <w:rPr>
          <w:b/>
        </w:rPr>
        <w:t>3 病史重点：</w:t>
      </w:r>
      <w:r>
        <w:t>目击、呼救、初始节律、立即CPR及除颤、实际给药时点、可逆病因和既往意愿资料。</w:t>
      </w:r>
    </w:p>
    <w:p>
      <w:r>
        <w:rPr>
          <w:b/>
        </w:rPr>
        <w:t>4 专科检查：</w:t>
      </w:r>
      <w:r>
        <w:t>持续评估意识呼吸、脉搏节律、氧合和灌注，记录按真实检查而非套模板。</w:t>
      </w:r>
    </w:p>
    <w:p>
      <w:r>
        <w:rPr>
          <w:b/>
        </w:rPr>
        <w:t>5 辅助检查：</w:t>
      </w:r>
      <w:r>
        <w:t>原监护条带、呼末二氧化碳及血气、电解质、心电超声和针对病因检查，不中断必要复苏。</w:t>
      </w:r>
    </w:p>
    <w:p>
      <w:r>
        <w:rPr>
          <w:b/>
        </w:rPr>
        <w:t>6 诊断标准：</w:t>
      </w:r>
      <w:r>
        <w:t>骤停由临床无反应、异常或无正常呼吸及循环评估确认；ROSC必须有真实自主循环证据。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循环状态、节律、真实措施反应和最终结局相互印证。</w:t>
      </w:r>
    </w:p>
    <w:p>
      <w:r>
        <w:rPr>
          <w:b/>
        </w:rPr>
        <w:t>8 鉴别诊断：</w:t>
      </w:r>
      <w:r>
        <w:t>呼吸骤停未心停、假性无脉、严重低血压及监护伪差；病因评估包括可逆因素。</w:t>
      </w:r>
    </w:p>
    <w:p>
      <w:r>
        <w:rPr>
          <w:b/>
        </w:rPr>
        <w:t>9 分型和分期：</w:t>
      </w:r>
      <w:r>
        <w:t>室颤无脉室速与非可电击节律分流；ROSC、持续复苏与死亡分别明确。</w:t>
      </w:r>
    </w:p>
    <w:p>
      <w:r>
        <w:rPr>
          <w:b/>
        </w:rPr>
        <w:t>10 严重程度评价：</w:t>
      </w:r>
      <w:r>
        <w:t>复苏后循环、氧合通气、脑功能、病因及再停风险连续评估，不能早期单征作不可逆神经预后。 同时记录当前器官功能和支持需求，不仅凭疾病名称。</w:t>
      </w:r>
    </w:p>
    <w:p>
      <w:r>
        <w:rPr>
          <w:b/>
        </w:rPr>
        <w:t>11 临床危险分层：</w:t>
      </w:r>
      <w:r>
        <w:t>复苏后循环、氧合通气、脑功能、病因及再停风险连续评估，不能早期单征作不可逆神经预后。 需要评分时按07核对适用对象、版本和完整变量；缺项不计算。</w:t>
      </w:r>
    </w:p>
    <w:p>
      <w:r>
        <w:rPr>
          <w:b/>
        </w:rPr>
        <w:t>12 药物治疗原则：</w:t>
      </w:r>
      <w:r>
        <w:t>按2025AHA及院内验证流程实施复苏；正文只写实际措施和剂量，不自动添加任何给药或成功效果。</w:t>
      </w:r>
    </w:p>
    <w:p>
      <w:r>
        <w:rPr>
          <w:b/>
        </w:rPr>
        <w:t>13 介入和其他指征：</w:t>
      </w:r>
      <w:r>
        <w:t>电治疗、气道、冠脉或其他病因干预及体外支持依适应证和团队决定；复苏后管理需温度、氧合及循环策略复核。</w:t>
      </w:r>
    </w:p>
    <w:p>
      <w:r>
        <w:rPr>
          <w:b/>
        </w:rPr>
        <w:t>14 禁忌及治疗风险：</w:t>
      </w:r>
      <w:r>
        <w:t>电治疗、气道、冠脉或其他病因干预及体外支持依适应证和团队决定；复苏后管理需温度、氧合及循环策略复核。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再骤停、心肌功能障碍、缺氧脑损伤、多器官损伤及复苏创伤。</w:t>
      </w:r>
    </w:p>
    <w:p>
      <w:r>
        <w:rPr>
          <w:b/>
        </w:rPr>
        <w:t>16 住院观察：</w:t>
      </w:r>
      <w:r>
        <w:t>各事件时点置于对应代码块上方；用实际记录构建全程，ROSC后复评器官及支持反应。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现病史：〈目击、呼救、初始节律、立即CPR及除颤、实际给药时点、可逆病因和既往意愿资料的实际病史〉。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专科查体：〈持续评估意识呼吸、脉搏节律、氧合和灌注，记录按真实检查而非套模板的实查结果〉。</w:t>
      </w:r>
    </w:p>
    <w:p>
      <w:pPr>
        <w:pStyle w:val="Code"/>
        <w:keepNext/>
        <w:keepLines/>
        <w:shd w:fill="F3F3F3"/>
      </w:pPr>
      <w:r>
        <w:t>辅助检查：〈原监护条带、呼末二氧化碳及血气、电解质、心电超声和针对病因检查，不中断必要复苏的真实结果及意义〉。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目击、呼救、初始节律、立即CPR及除颤、实际给药时点、可逆病因和既往意愿资料的实际病史〉，查体〈持续评估意识呼吸、脉搏节律、氧合和灌注，记录按真实检查而非套模板的实查结果〉，检查〈原监护条带、呼末二氧化碳及血气、电解质、心电超声和针对病因检查，不中断必要复苏的真实结果及意义〉。目前考虑〈本病有证据的诊断层级及支持与不足〉，需与〈呼吸骤停未心停、假性无脉、严重低血压及监护伪差中的主要疾病及理由〉鉴别，风险〈复苏后循环、氧合通气、脑功能、病因及再停风险连续评估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持续评估意识呼吸、脉搏节律、氧合和灌注，记录按真实检查而非套模板的实查结果〉，检查〈原监护条带、呼末二氧化碳及血气、电解质、心电超声和针对病因检查，不中断必要复苏的真实结果及意义〉。目前〈本病有证据的诊断层级及支持与不足〉，〈真实治疗执行及疗效不良反应〉，拟〈经确认继续或调整方案及理由〉，监测〈各事件时点置于对应代码块上方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持续评估意识呼吸、脉搏节律、氧合和灌注，记录按真实检查而非套模板的实查结果〉，检查〈原监护条带、呼末二氧化碳及血气、电解质、心电超声和针对病因检查，不中断必要复苏的真实结果及意义〉。主治医师分析：〈本病诊断依据、具体鉴别、检查意义和治疗反应的真实意见与证据〉，〈复苏后循环、氧合通气、脑功能、病因及再停风险连续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持续评估意识呼吸、脉搏节律、氧合和灌注，记录按真实检查而非套模板的实查结果〉，检查〈原监护条带、呼末二氧化碳及血气、电解质、心电超声和针对病因检查，不中断必要复苏的真实结果及意义〉。副主任医师分析：〈本病分型严重度、主要风险及策略优化的真实意见与证据〉，〈复苏后循环、氧合通气、脑功能、病因及再停风险连续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持续评估意识呼吸、脉搏节律、氧合和灌注，记录按真实检查而非套模板的实查结果〉，检查〈原监护条带、呼末二氧化碳及血气、电解质、心电超声和针对病因检查，不中断必要复苏的真实结果及意义〉。主任医师分析：〈本病复杂诊断、重大介入或其他治疗取舍、替代路径及预后的真实意见与证据〉，〈复苏后循环、氧合通气、脑功能、病因及再停风险连续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再骤停、心肌功能障碍、缺氧脑损伤、多器官损伤及复苏创伤相关的实际异常〉，评估〈持续评估意识呼吸、脉搏节律、氧合和灌注，记录按真实检查而非套模板的实查结果〉，检查〈原监护条带、呼末二氧化碳及血气、电解质、心电超声和针对病因检查，不中断必要复苏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持续评估意识呼吸、脉搏节律、氧合和灌注，记录按真实检查而非套模板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随访：〈转CCU或ICU时完整交接复苏时长、节律、治疗及待处理病因的具体安排〉。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不得虚构肾上腺素时间剂量、除颤能量次数、参与者或ROSC；不能据单项早期检查决定神经预后。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本节使用CPR、VA；完整书目、版本、范围、实际核验日期见文末。全文或具体细则未核验时不得编造推荐等级剂量。</w:t>
      </w:r>
    </w:p>
    <w:p>
      <w:bookmarkStart w:id="1004" w:name="s1004"/>
      <w:pPr>
        <w:pStyle w:val="Heading1"/>
      </w:pPr>
      <w:r>
        <w:t>3 急性肺水肿与恶性心律失常的CCU衔接</w:t>
      </w:r>
      <w:bookmarkEnd w:id="1004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以当前呼吸循环状态确定监护与支持，联合102急性心衰和103室性心律模块；两者可相互触发。</w:t>
      </w:r>
    </w:p>
    <w:p>
      <w:r>
        <w:rPr>
          <w:b/>
        </w:rPr>
        <w:t>2 临床表现：</w:t>
      </w:r>
      <w:r>
        <w:t>严重气促低氧、胸痛心悸、晕厥或意识改变。</w:t>
      </w:r>
    </w:p>
    <w:p>
      <w:r>
        <w:rPr>
          <w:b/>
        </w:rPr>
        <w:t>3 病史重点：</w:t>
      </w:r>
      <w:r>
        <w:t>发作和处理时序、缺血、容量、药物、电解质及既往室性事件。</w:t>
      </w:r>
    </w:p>
    <w:p>
      <w:r>
        <w:rPr>
          <w:b/>
        </w:rPr>
        <w:t>4 专科检查：</w:t>
      </w:r>
      <w:r>
        <w:t>ABC、心率血压及脉搏、呼吸负担、SpO₂条件、肺啰音与灌注。</w:t>
      </w:r>
    </w:p>
    <w:p>
      <w:r>
        <w:rPr>
          <w:b/>
        </w:rPr>
        <w:t>5 辅助检查：</w:t>
      </w:r>
      <w:r>
        <w:t>即时心电、超声、血气乳酸、电解质肾功能及心肌损伤序列，结合当前支持。</w:t>
      </w:r>
    </w:p>
    <w:p>
      <w:r>
        <w:rPr>
          <w:b/>
        </w:rPr>
        <w:t>6 诊断标准：</w:t>
      </w:r>
      <w:r>
        <w:t>以当前呼吸循环状态确定监护与支持，联合102急性心衰和103室性心律模块；两者可相互触发。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呼吸衰竭、淤血及具体节律分别有证据；不能把监护报警当确诊。</w:t>
      </w:r>
    </w:p>
    <w:p>
      <w:r>
        <w:rPr>
          <w:b/>
        </w:rPr>
        <w:t>8 鉴别诊断：</w:t>
      </w:r>
      <w:r>
        <w:t>肺栓塞、感染、压塞、气胸与非心源性肺水肿；心律异常真假鉴别。</w:t>
      </w:r>
    </w:p>
    <w:p>
      <w:r>
        <w:rPr>
          <w:b/>
        </w:rPr>
        <w:t>9 分型和分期：</w:t>
      </w:r>
      <w:r>
        <w:t>有脉或无脉、稳定或不稳定，呼吸与循环支持层级和病因。</w:t>
      </w:r>
    </w:p>
    <w:p>
      <w:r>
        <w:rPr>
          <w:b/>
        </w:rPr>
        <w:t>10 严重程度评价：</w:t>
      </w:r>
      <w:r>
        <w:t>持续低氧、疲劳、低灌注或反复室速提示紧急升级。 同时记录当前器官功能和支持需求，不仅凭疾病名称。</w:t>
      </w:r>
    </w:p>
    <w:p>
      <w:r>
        <w:rPr>
          <w:b/>
        </w:rPr>
        <w:t>11 临床危险分层：</w:t>
      </w:r>
      <w:r>
        <w:t>持续低氧、疲劳、低灌注或反复室速提示紧急升级。 需要评分时按07核对适用对象、版本和完整变量；缺项不计算。</w:t>
      </w:r>
    </w:p>
    <w:p>
      <w:r>
        <w:rPr>
          <w:b/>
        </w:rPr>
        <w:t>12 药物治疗原则：</w:t>
      </w:r>
      <w:r>
        <w:t>协调呼吸支持、容量和抗心律治疗，注意血压、QT、电解质和镇静影响；不将低氧简单归为焦虑。</w:t>
      </w:r>
    </w:p>
    <w:p>
      <w:r>
        <w:rPr>
          <w:b/>
        </w:rPr>
        <w:t>13 介入和其他指征：</w:t>
      </w:r>
      <w:r>
        <w:t>按适应证启动气道、电治疗、病因介入和循环支持团队。</w:t>
      </w:r>
    </w:p>
    <w:p>
      <w:r>
        <w:rPr>
          <w:b/>
        </w:rPr>
        <w:t>14 禁忌及治疗风险：</w:t>
      </w:r>
      <w:r>
        <w:t>按适应证启动气道、电治疗、病因介入和循环支持团队。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骤停、休克、肾损伤和治疗相关低血压。</w:t>
      </w:r>
    </w:p>
    <w:p>
      <w:r>
        <w:rPr>
          <w:b/>
        </w:rPr>
        <w:t>16 住院观察：</w:t>
      </w:r>
      <w:r>
        <w:t>CCU每次交班核实泵入药、通气参数、导管器械、节律及复查计划；变化立即形成处置闭环。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现病史：〈发作和处理时序、缺血、容量、药物、电解质及既往室性事件的实际病史〉。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专科查体：〈ABC、心率血压及脉搏、呼吸负担、SpO₂条件、肺啰音与灌注的实查结果〉。</w:t>
      </w:r>
    </w:p>
    <w:p>
      <w:pPr>
        <w:pStyle w:val="Code"/>
        <w:keepNext/>
        <w:keepLines/>
        <w:shd w:fill="F3F3F3"/>
      </w:pPr>
      <w:r>
        <w:t>辅助检查：〈即时心电、超声、血气乳酸、电解质肾功能及心肌损伤序列，结合当前支持的真实结果及意义〉。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发作和处理时序、缺血、容量、药物、电解质及既往室性事件的实际病史〉，查体〈ABC、心率血压及脉搏、呼吸负担、SpO₂条件、肺啰音与灌注的实查结果〉，检查〈即时心电、超声、血气乳酸、电解质肾功能及心肌损伤序列，结合当前支持的真实结果及意义〉。目前考虑〈本病有证据的诊断层级及支持与不足〉，需与〈肺栓塞、感染、压塞、气胸与非心源性肺水肿中的主要疾病及理由〉鉴别，风险〈持续低氧、疲劳、低灌注或反复室速提示紧急升级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ABC、心率血压及脉搏、呼吸负担、SpO₂条件、肺啰音与灌注的实查结果〉，检查〈即时心电、超声、血气乳酸、电解质肾功能及心肌损伤序列，结合当前支持的真实结果及意义〉。目前〈本病有证据的诊断层级及支持与不足〉，〈真实治疗执行及疗效不良反应〉，拟〈经确认继续或调整方案及理由〉，监测〈CCU每次交班核实泵入药、通气参数、导管器械、节律及复查计划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ABC、心率血压及脉搏、呼吸负担、SpO₂条件、肺啰音与灌注的实查结果〉，检查〈即时心电、超声、血气乳酸、电解质肾功能及心肌损伤序列，结合当前支持的真实结果及意义〉。主治医师分析：〈本病诊断依据、具体鉴别、检查意义和治疗反应的真实意见与证据〉，〈持续低氧、疲劳、低灌注或反复室速提示紧急升级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ABC、心率血压及脉搏、呼吸负担、SpO₂条件、肺啰音与灌注的实查结果〉，检查〈即时心电、超声、血气乳酸、电解质肾功能及心肌损伤序列，结合当前支持的真实结果及意义〉。副主任医师分析：〈本病分型严重度、主要风险及策略优化的真实意见与证据〉，〈持续低氧、疲劳、低灌注或反复室速提示紧急升级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ABC、心率血压及脉搏、呼吸负担、SpO₂条件、肺啰音与灌注的实查结果〉，检查〈即时心电、超声、血气乳酸、电解质肾功能及心肌损伤序列，结合当前支持的真实结果及意义〉。主任医师分析：〈本病复杂诊断、重大介入或其他治疗取舍、替代路径及预后的真实意见与证据〉，〈持续低氧、疲劳、低灌注或反复室速提示紧急升级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骤停、休克、肾损伤和治疗相关低血压相关的实际异常〉，评估〈ABC、心率血压及脉搏、呼吸负担、SpO₂条件、肺啰音与灌注的实查结果〉，检查〈即时心电、超声、血气乳酸、电解质肾功能及心肌损伤序列，结合当前支持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ABC、心率血压及脉搏、呼吸负担、SpO₂条件、肺啰音与灌注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随访：〈稳定后说明降阶监护条件、仍需观察的风险及专病管理计划的具体安排〉。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不能因吸氧后SpO₂回升就写全部稳定，不能省略吸氧条件或电治疗循环状态。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本节使用H1、VA、CPR；完整书目、版本、范围、实际核验日期见文末。全文或具体细则未核验时不得编造推荐等级剂量。</w:t>
      </w:r>
    </w:p>
    <w:p>
      <w:bookmarkStart w:id="1005" w:name="s1005"/>
      <w:pPr>
        <w:pStyle w:val="Heading1"/>
      </w:pPr>
      <w:r>
        <w:t>4 冠脉与电生理围介入并发症</w:t>
      </w:r>
      <w:bookmarkEnd w:id="1005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术中术后异常应按实际触发、时序、证据和处置判断，不能默认属于正常反应。</w:t>
      </w:r>
    </w:p>
    <w:p>
      <w:r>
        <w:rPr>
          <w:b/>
        </w:rPr>
        <w:t>2 临床表现：</w:t>
      </w:r>
      <w:r>
        <w:t>胸痛低血压、气促、神经异常、肢体疼痛、穿刺出血、少尿或心律突变。</w:t>
      </w:r>
    </w:p>
    <w:p>
      <w:r>
        <w:rPr>
          <w:b/>
        </w:rPr>
        <w:t>3 病史重点：</w:t>
      </w:r>
      <w:r>
        <w:t>具体操作步骤器材、抗栓及对比剂、麻醉、原有风险和异常发生关系。</w:t>
      </w:r>
    </w:p>
    <w:p>
      <w:r>
        <w:rPr>
          <w:b/>
        </w:rPr>
        <w:t>4 专科检查：</w:t>
      </w:r>
      <w:r>
        <w:t>生命体征、心肺灌注、神经、穿刺或切口、腹背部及远端血管。</w:t>
      </w:r>
    </w:p>
    <w:p>
      <w:r>
        <w:rPr>
          <w:b/>
        </w:rPr>
        <w:t>5 辅助检查：</w:t>
      </w:r>
      <w:r>
        <w:t>针对疑因复核造影或心电、超声、血红蛋白肾功能电解质及必要影像，不常规虚构全部阴性。</w:t>
      </w:r>
    </w:p>
    <w:p>
      <w:r>
        <w:rPr>
          <w:b/>
        </w:rPr>
        <w:t>6 诊断标准：</w:t>
      </w:r>
      <w:r>
        <w:t>术中术后异常应按实际触发、时序、证据和处置判断，不能默认属于正常反应。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实际异常与操作相关性及排除其他原因，保留原因未明时的不确定性。</w:t>
      </w:r>
    </w:p>
    <w:p>
      <w:r>
        <w:rPr>
          <w:b/>
        </w:rPr>
        <w:t>8 鉴别诊断：</w:t>
      </w:r>
      <w:r>
        <w:t>冠脉闭塞无复流、穿孔压塞、血管出血、过敏、迷走反应、气胸、栓塞及基础病恶化。</w:t>
      </w:r>
    </w:p>
    <w:p>
      <w:r>
        <w:rPr>
          <w:b/>
        </w:rPr>
        <w:t>9 分型和分期：</w:t>
      </w:r>
      <w:r>
        <w:t>术前已存在、术中新增、术后出现分别记录；损伤与并发症诊断需证据。</w:t>
      </w:r>
    </w:p>
    <w:p>
      <w:r>
        <w:rPr>
          <w:b/>
        </w:rPr>
        <w:t>10 严重程度评价：</w:t>
      </w:r>
      <w:r>
        <w:t>持续血压下降、血红蛋白降、神经或肢体缺血、ST变化需立即处理。 同时记录当前器官功能和支持需求，不仅凭疾病名称。</w:t>
      </w:r>
    </w:p>
    <w:p>
      <w:r>
        <w:rPr>
          <w:b/>
        </w:rPr>
        <w:t>11 临床危险分层：</w:t>
      </w:r>
      <w:r>
        <w:t>持续血压下降、血红蛋白降、神经或肢体缺血、ST变化需立即处理。 需要评分时按07核对适用对象、版本和完整变量；缺项不计算。</w:t>
      </w:r>
    </w:p>
    <w:p>
      <w:r>
        <w:rPr>
          <w:b/>
        </w:rPr>
        <w:t>12 药物治疗原则：</w:t>
      </w:r>
      <w:r>
        <w:t>按病因实施真实止血、支持和抗栓调整，平衡急性血栓与出血；不能一律停止或加强全部抗栓。</w:t>
      </w:r>
    </w:p>
    <w:p>
      <w:r>
        <w:rPr>
          <w:b/>
        </w:rPr>
        <w:t>13 介入和其他指征：</w:t>
      </w:r>
      <w:r>
        <w:t>再次造影、修补、引流、外科或血管介入按团队评估和实施记录。</w:t>
      </w:r>
    </w:p>
    <w:p>
      <w:r>
        <w:rPr>
          <w:b/>
        </w:rPr>
        <w:t>14 禁忌及治疗风险：</w:t>
      </w:r>
      <w:r>
        <w:t>再次造影、修补、引流、外科或血管介入按团队评估和实施记录。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大出血、压塞、卒中、急性闭塞、肾损伤及感染。</w:t>
      </w:r>
    </w:p>
    <w:p>
      <w:r>
        <w:rPr>
          <w:b/>
        </w:rPr>
        <w:t>16 住院观察：</w:t>
      </w:r>
      <w:r>
        <w:t>写清识别、评估、实际措施、复查和转归；未证实改善不能写已纠正。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现病史：〈具体操作步骤器材、抗栓及对比剂、麻醉、原有风险和异常发生关系的实际病史〉。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专科查体：〈生命体征、心肺灌注、神经、穿刺或切口、腹背部及远端血管的实查结果〉。</w:t>
      </w:r>
    </w:p>
    <w:p>
      <w:pPr>
        <w:pStyle w:val="Code"/>
        <w:keepNext/>
        <w:keepLines/>
        <w:shd w:fill="F3F3F3"/>
      </w:pPr>
      <w:r>
        <w:t>辅助检查：〈针对疑因复核造影或心电、超声、血红蛋白肾功能电解质及必要影像，不常规虚构全部阴性的真实结果及意义〉。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具体操作步骤器材、抗栓及对比剂、麻醉、原有风险和异常发生关系的实际病史〉，查体〈生命体征、心肺灌注、神经、穿刺或切口、腹背部及远端血管的实查结果〉，检查〈针对疑因复核造影或心电、超声、血红蛋白肾功能电解质及必要影像，不常规虚构全部阴性的真实结果及意义〉。目前考虑〈本病有证据的诊断层级及支持与不足〉，需与〈冠脉闭塞无复流、穿孔压塞、血管出血、过敏、迷走反应、气胸、栓塞及基础病恶化中的主要疾病及理由〉鉴别，风险〈持续血压下降、血红蛋白降、神经或肢体缺血、ST变化需立即处理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生命体征、心肺灌注、神经、穿刺或切口、腹背部及远端血管的实查结果〉，检查〈针对疑因复核造影或心电、超声、血红蛋白肾功能电解质及必要影像，不常规虚构全部阴性的真实结果及意义〉。目前〈本病有证据的诊断层级及支持与不足〉，〈真实治疗执行及疗效不良反应〉，拟〈经确认继续或调整方案及理由〉，监测〈写清识别、评估、实际措施、复查和转归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生命体征、心肺灌注、神经、穿刺或切口、腹背部及远端血管的实查结果〉，检查〈针对疑因复核造影或心电、超声、血红蛋白肾功能电解质及必要影像，不常规虚构全部阴性的真实结果及意义〉。主治医师分析：〈本病诊断依据、具体鉴别、检查意义和治疗反应的真实意见与证据〉，〈持续血压下降、血红蛋白降、神经或肢体缺血、ST变化需立即处理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生命体征、心肺灌注、神经、穿刺或切口、腹背部及远端血管的实查结果〉，检查〈针对疑因复核造影或心电、超声、血红蛋白肾功能电解质及必要影像，不常规虚构全部阴性的真实结果及意义〉。副主任医师分析：〈本病分型严重度、主要风险及策略优化的真实意见与证据〉，〈持续血压下降、血红蛋白降、神经或肢体缺血、ST变化需立即处理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生命体征、心肺灌注、神经、穿刺或切口、腹背部及远端血管的实查结果〉，检查〈针对疑因复核造影或心电、超声、血红蛋白肾功能电解质及必要影像，不常规虚构全部阴性的真实结果及意义〉。主任医师分析：〈本病复杂诊断、重大介入或其他治疗取舍、替代路径及预后的真实意见与证据〉，〈持续血压下降、血红蛋白降、神经或肢体缺血、ST变化需立即处理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大出血、压塞、卒中、急性闭塞、肾损伤及感染相关的实际异常〉，评估〈生命体征、心肺灌注、神经、穿刺或切口、腹背部及远端血管的实查结果〉，检查〈针对疑因复核造影或心电、超声、血红蛋白肾功能电解质及必要影像，不常规虚构全部阴性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生命体征、心肺灌注、神经、穿刺或切口、腹背部及远端血管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随访：〈核实残留问题、器械与导管状态、药物恢复和复查安排的具体安排〉。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不得用“手术顺利”覆盖异常，不得编造抢救、修补器材或并发症已解除。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本节使用C3、EP、CPR；完整书目、版本、范围、实际核验日期见文末。全文或具体细则未核验时不得编造推荐等级剂量。</w:t>
      </w:r>
    </w:p>
    <w:p>
      <w:bookmarkStart w:id="1006" w:name="s1006"/>
      <w:pPr>
        <w:pStyle w:val="Heading1"/>
      </w:pPr>
      <w:r>
        <w:t>5 CCU监护 转科抢救及医患沟通</w:t>
      </w:r>
      <w:bookmarkEnd w:id="1006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围绕正在发生的器官功能异常、支持治疗与交接责任记录，CCU住院本身不能作为危重诊断。</w:t>
      </w:r>
    </w:p>
    <w:p>
      <w:r>
        <w:rPr>
          <w:b/>
        </w:rPr>
        <w:t>2 临床表现：</w:t>
      </w:r>
      <w:r>
        <w:t>当前症状及意识、疼痛、呼吸负担、睡眠或谵妄表现均以实际观察。</w:t>
      </w:r>
    </w:p>
    <w:p>
      <w:r>
        <w:rPr>
          <w:b/>
        </w:rPr>
        <w:t>3 病史重点：</w:t>
      </w:r>
      <w:r>
        <w:t>病因诊断、重要操作抢救、药物装置、治疗意愿与既往沟通。</w:t>
      </w:r>
    </w:p>
    <w:p>
      <w:r>
        <w:rPr>
          <w:b/>
        </w:rPr>
        <w:t>4 专科检查：</w:t>
      </w:r>
      <w:r>
        <w:t>生命体征、意识、灌注、容量、皮肤、导管切口及远端循环。</w:t>
      </w:r>
    </w:p>
    <w:p>
      <w:r>
        <w:rPr>
          <w:b/>
        </w:rPr>
        <w:t>5 辅助检查：</w:t>
      </w:r>
      <w:r>
        <w:t>仅列与当前问题有关的监护和检查趋势，注明可比较条件及待回报项目。</w:t>
      </w:r>
    </w:p>
    <w:p>
      <w:r>
        <w:rPr>
          <w:b/>
        </w:rPr>
        <w:t>6 诊断标准：</w:t>
      </w:r>
      <w:r>
        <w:t>围绕正在发生的器官功能异常、支持治疗与交接责任记录，CCU住院本身不能作为危重诊断。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主要风险、器官损害与支持需求一一对应，不把推测当既成事实。</w:t>
      </w:r>
    </w:p>
    <w:p>
      <w:r>
        <w:rPr>
          <w:b/>
        </w:rPr>
        <w:t>8 鉴别诊断：</w:t>
      </w:r>
      <w:r>
        <w:t>心源与非心源恶化、出血感染、药物不良反应及设备报警真假。</w:t>
      </w:r>
    </w:p>
    <w:p>
      <w:r>
        <w:rPr>
          <w:b/>
        </w:rPr>
        <w:t>9 分型和分期：</w:t>
      </w:r>
      <w:r>
        <w:t>当前支持层级、活动性问题、治疗反应和适宜转科条件。</w:t>
      </w:r>
    </w:p>
    <w:p>
      <w:r>
        <w:rPr>
          <w:b/>
        </w:rPr>
        <w:t>10 严重程度评价：</w:t>
      </w:r>
      <w:r>
        <w:t>脱离支持失败、呼吸循环恶化、感染出血及交接遗漏。 同时记录当前器官功能和支持需求，不仅凭疾病名称。</w:t>
      </w:r>
    </w:p>
    <w:p>
      <w:r>
        <w:rPr>
          <w:b/>
        </w:rPr>
        <w:t>11 临床危险分层：</w:t>
      </w:r>
      <w:r>
        <w:t>脱离支持失败、呼吸循环恶化、感染出血及交接遗漏。 需要评分时按07核对适用对象、版本和完整变量；缺项不计算。</w:t>
      </w:r>
    </w:p>
    <w:p>
      <w:r>
        <w:rPr>
          <w:b/>
        </w:rPr>
        <w:t>12 药物治疗原则：</w:t>
      </w:r>
      <w:r>
        <w:t>逐项核对泵药浓度速率、抗栓、液体、镇静、营养及预防措施的适应证与实际执行。</w:t>
      </w:r>
    </w:p>
    <w:p>
      <w:r>
        <w:rPr>
          <w:b/>
        </w:rPr>
        <w:t>13 介入和其他指征：</w:t>
      </w:r>
      <w:r>
        <w:t>有创通路、临时起搏或MCS的留置拔除需真实决策和执行，转运前核对接收与应急保障。</w:t>
      </w:r>
    </w:p>
    <w:p>
      <w:r>
        <w:rPr>
          <w:b/>
        </w:rPr>
        <w:t>14 禁忌及治疗风险：</w:t>
      </w:r>
      <w:r>
        <w:t>有创通路、临时起搏或MCS的留置拔除需真实决策和执行，转运前核对接收与应急保障。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导管感染、血栓出血、压伤、谵妄及支持相关问题。</w:t>
      </w:r>
    </w:p>
    <w:p>
      <w:r>
        <w:rPr>
          <w:b/>
        </w:rPr>
        <w:t>16 住院观察：</w:t>
      </w:r>
      <w:r>
        <w:t>每次变化及交班写活动问题、待复查、报警升级条件与责任；实际告知内容、对象回应及签署状态另核对。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现病史：〈病因诊断、重要操作抢救、药物装置、治疗意愿与既往沟通的实际病史〉。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专科查体：〈生命体征、意识、灌注、容量、皮肤、导管切口及远端循环的实查结果〉。</w:t>
      </w:r>
    </w:p>
    <w:p>
      <w:pPr>
        <w:pStyle w:val="Code"/>
        <w:keepNext/>
        <w:keepLines/>
        <w:shd w:fill="F3F3F3"/>
      </w:pPr>
      <w:r>
        <w:t>辅助检查：〈仅列与当前问题有关的监护和检查趋势，注明可比较条件及待回报项目的真实结果及意义〉。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病因诊断、重要操作抢救、药物装置、治疗意愿与既往沟通的实际病史〉，查体〈生命体征、意识、灌注、容量、皮肤、导管切口及远端循环的实查结果〉，检查〈仅列与当前问题有关的监护和检查趋势，注明可比较条件及待回报项目的真实结果及意义〉。目前考虑〈本病有证据的诊断层级及支持与不足〉，需与〈心源与非心源恶化、出血感染、药物不良反应及设备报警真假中的主要疾病及理由〉鉴别，风险〈脱离支持失败、呼吸循环恶化、感染出血及交接遗漏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生命体征、意识、灌注、容量、皮肤、导管切口及远端循环的实查结果〉，检查〈仅列与当前问题有关的监护和检查趋势，注明可比较条件及待回报项目的真实结果及意义〉。目前〈本病有证据的诊断层级及支持与不足〉，〈真实治疗执行及疗效不良反应〉，拟〈经确认继续或调整方案及理由〉，监测〈每次变化及交班写活动问题、待复查、报警升级条件与责任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生命体征、意识、灌注、容量、皮肤、导管切口及远端循环的实查结果〉，检查〈仅列与当前问题有关的监护和检查趋势，注明可比较条件及待回报项目的真实结果及意义〉。主治医师分析：〈本病诊断依据、具体鉴别、检查意义和治疗反应的真实意见与证据〉，〈脱离支持失败、呼吸循环恶化、感染出血及交接遗漏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生命体征、意识、灌注、容量、皮肤、导管切口及远端循环的实查结果〉，检查〈仅列与当前问题有关的监护和检查趋势，注明可比较条件及待回报项目的真实结果及意义〉。副主任医师分析：〈本病分型严重度、主要风险及策略优化的真实意见与证据〉，〈脱离支持失败、呼吸循环恶化、感染出血及交接遗漏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生命体征、意识、灌注、容量、皮肤、导管切口及远端循环的实查结果〉，检查〈仅列与当前问题有关的监护和检查趋势，注明可比较条件及待回报项目的真实结果及意义〉。主任医师分析：〈本病复杂诊断、重大介入或其他治疗取舍、替代路径及预后的真实意见与证据〉，〈脱离支持失败、呼吸循环恶化、感染出血及交接遗漏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导管感染、血栓出血、压伤、谵妄及支持相关问题相关的实际异常〉，评估〈生命体征、意识、灌注、容量、皮肤、导管切口及远端循环的实查结果〉，检查〈仅列与当前问题有关的监护和检查趋势，注明可比较条件及待回报项目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生命体征、意识、灌注、容量、皮肤、导管切口及远端循环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随访：〈转科记录与接收评估独立完成的具体安排〉。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不得自动填“家属理解同意”“生命体征平稳”“导管通畅”，不能把转出申请写成已转科。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本节使用N4、CPR、H1；完整书目、版本、范围、实际核验日期见文末。全文或具体细则未核验时不得编造推荐等级剂量。</w:t>
      </w:r>
    </w:p>
    <w:p>
      <w:bookmarkStart w:id="1007" w:name="s1007"/>
      <w:pPr>
        <w:pStyle w:val="Heading1"/>
      </w:pPr>
      <w:r>
        <w:t>6 多器官功能障碍与临终死亡相关管理</w:t>
      </w:r>
      <w:bookmarkEnd w:id="1007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危重患者多器官异常需逐器官证据及病因；临终、限制治疗和死亡只记录真实医师决策及合法流程。</w:t>
      </w:r>
    </w:p>
    <w:p>
      <w:r>
        <w:rPr>
          <w:b/>
        </w:rPr>
        <w:t>2 临床表现：</w:t>
      </w:r>
      <w:r>
        <w:t>循环呼吸障碍、少尿、意识变化、出血或末期症状。</w:t>
      </w:r>
    </w:p>
    <w:p>
      <w:r>
        <w:rPr>
          <w:b/>
        </w:rPr>
        <w:t>3 病史重点：</w:t>
      </w:r>
      <w:r>
        <w:t>原发病可逆性、基础功能、支持治疗、真实沟通意愿和授权。</w:t>
      </w:r>
    </w:p>
    <w:p>
      <w:r>
        <w:rPr>
          <w:b/>
        </w:rPr>
        <w:t>4 专科检查：</w:t>
      </w:r>
      <w:r>
        <w:t>意识、氧合、血压灌注、体液及神经、皮肤和导管实际情况。</w:t>
      </w:r>
    </w:p>
    <w:p>
      <w:r>
        <w:rPr>
          <w:b/>
        </w:rPr>
        <w:t>5 辅助检查：</w:t>
      </w:r>
      <w:r>
        <w:t>肝肾凝血血气乳酸、心功能及针对病因检查；评分完整变量才计算。</w:t>
      </w:r>
    </w:p>
    <w:p>
      <w:r>
        <w:rPr>
          <w:b/>
        </w:rPr>
        <w:t>6 诊断标准：</w:t>
      </w:r>
      <w:r>
        <w:t>危重患者多器官异常需逐器官证据及病因；临终、限制治疗和死亡只记录真实医师决策及合法流程。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器官异常、时序与支持需求分别证实，不能按CCU住院推断多器官衰竭。</w:t>
      </w:r>
    </w:p>
    <w:p>
      <w:r>
        <w:rPr>
          <w:b/>
        </w:rPr>
        <w:t>8 鉴别诊断：</w:t>
      </w:r>
      <w:r>
        <w:t>药物镇静、可逆低氧代谢、感染出血及基础慢性器官病。</w:t>
      </w:r>
    </w:p>
    <w:p>
      <w:r>
        <w:rPr>
          <w:b/>
        </w:rPr>
        <w:t>9 分型和分期：</w:t>
      </w:r>
      <w:r>
        <w:t>各器官功能程度、可逆诱因、当前支持及目标，不假定已限制治疗。</w:t>
      </w:r>
    </w:p>
    <w:p>
      <w:r>
        <w:rPr>
          <w:b/>
        </w:rPr>
        <w:t>10 严重程度评价：</w:t>
      </w:r>
      <w:r>
        <w:t>持续恶化、支持无效和预后不确定性需团队评估。 同时记录当前器官功能和支持需求，不仅凭疾病名称。</w:t>
      </w:r>
    </w:p>
    <w:p>
      <w:r>
        <w:rPr>
          <w:b/>
        </w:rPr>
        <w:t>11 临床危险分层：</w:t>
      </w:r>
      <w:r>
        <w:t>持续恶化、支持无效和预后不确定性需团队评估。 需要评分时按07核对适用对象、版本和完整变量；缺项不计算。</w:t>
      </w:r>
    </w:p>
    <w:p>
      <w:r>
        <w:rPr>
          <w:b/>
        </w:rPr>
        <w:t>12 药物治疗原则：</w:t>
      </w:r>
      <w:r>
        <w:t>病因、器官支持及舒适治疗按真实决定，不能自动撤除维持治疗。</w:t>
      </w:r>
    </w:p>
    <w:p>
      <w:r>
        <w:rPr>
          <w:b/>
        </w:rPr>
        <w:t>13 介入和其他指征：</w:t>
      </w:r>
      <w:r>
        <w:t>侵入支持继续调整或不升级需责任团队与适用制度，不能由模板替代授权。</w:t>
      </w:r>
    </w:p>
    <w:p>
      <w:r>
        <w:rPr>
          <w:b/>
        </w:rPr>
        <w:t>14 禁忌及治疗风险：</w:t>
      </w:r>
      <w:r>
        <w:t>侵入支持继续调整或不升级需责任团队与适用制度，不能由模板替代授权。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多器官恶化、继发感染血栓出血、低氧脑损伤。</w:t>
      </w:r>
    </w:p>
    <w:p>
      <w:r>
        <w:rPr>
          <w:b/>
        </w:rPr>
        <w:t>16 住院观察：</w:t>
      </w:r>
      <w:r>
        <w:t>真实器官趋势及支持效果，反复沟通和治疗目标记录。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现病史：〈原发病可逆性、基础功能、支持治疗、真实沟通意愿和授权的实际病史〉。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专科查体：〈意识、氧合、血压灌注、体液及神经、皮肤和导管实际情况的实查结果〉。</w:t>
      </w:r>
    </w:p>
    <w:p>
      <w:pPr>
        <w:pStyle w:val="Code"/>
        <w:keepNext/>
        <w:keepLines/>
        <w:shd w:fill="F3F3F3"/>
      </w:pPr>
      <w:r>
        <w:t>辅助检查：〈肝肾凝血血气乳酸、心功能及针对病因检查的真实结果及意义〉。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原发病可逆性、基础功能、支持治疗、真实沟通意愿和授权的实际病史〉，查体〈意识、氧合、血压灌注、体液及神经、皮肤和导管实际情况的实查结果〉，检查〈肝肾凝血血气乳酸、心功能及针对病因检查的真实结果及意义〉。目前考虑〈本病有证据的诊断层级及支持与不足〉，需与〈药物镇静、可逆低氧代谢、感染出血及基础慢性器官病中的主要疾病及理由〉鉴别，风险〈持续恶化、支持无效和预后不确定性需团队评估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意识、氧合、血压灌注、体液及神经、皮肤和导管实际情况的实查结果〉，检查〈肝肾凝血血气乳酸、心功能及针对病因检查的真实结果及意义〉。目前〈本病有证据的诊断层级及支持与不足〉，〈真实治疗执行及疗效不良反应〉，拟〈经确认继续或调整方案及理由〉，监测〈真实器官趋势及支持效果，反复沟通和治疗目标记录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意识、氧合、血压灌注、体液及神经、皮肤和导管实际情况的实查结果〉，检查〈肝肾凝血血气乳酸、心功能及针对病因检查的真实结果及意义〉。主治医师分析：〈本病诊断依据、具体鉴别、检查意义和治疗反应的真实意见与证据〉，〈持续恶化、支持无效和预后不确定性需团队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意识、氧合、血压灌注、体液及神经、皮肤和导管实际情况的实查结果〉，检查〈肝肾凝血血气乳酸、心功能及针对病因检查的真实结果及意义〉。副主任医师分析：〈本病分型严重度、主要风险及策略优化的真实意见与证据〉，〈持续恶化、支持无效和预后不确定性需团队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意识、氧合、血压灌注、体液及神经、皮肤和导管实际情况的实查结果〉，检查〈肝肾凝血血气乳酸、心功能及针对病因检查的真实结果及意义〉。主任医师分析：〈本病复杂诊断、重大介入或其他治疗取舍、替代路径及预后的真实意见与证据〉，〈持续恶化、支持无效和预后不确定性需团队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多器官恶化、继发感染血栓出血、低氧脑损伤相关的实际异常〉，评估〈意识、氧合、血压灌注、体液及神经、皮肤和导管实际情况的实查结果〉，检查〈肝肾凝血血气乳酸、心功能及针对病因检查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意识、氧合、血压灌注、体液及神经、皮肤和导管实际情况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随访：〈转科完整交接的具体安排〉。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不得以心搏骤停替代完整死因，不虚构死亡或家属同意撤除治疗。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本节使用N1、N4、CPR；完整书目、版本、范围、实际核验日期见文末。全文或具体细则未核验时不得编造推荐等级剂量。</w:t>
      </w:r>
    </w:p>
    <w:p>
      <w:bookmarkStart w:id="1008" w:name="s1008"/>
      <w:pPr>
        <w:pStyle w:val="Heading1"/>
      </w:pPr>
      <w:r>
        <w:t>典型联合场景及禁止事项</w:t>
      </w:r>
      <w:bookmarkEnd w:id="1008"/>
    </w:p>
    <w:p>
      <w:r>
        <w:t>冠心病合并心衰房颤联合101/102/103，07合并审核抗栓和血流动力学，05/107核操作状态；肺栓塞或压塞休克联106/105/108。不能将多个模板拼接为重复段落，不能按疾病默认常规药物、正常查体、已沟通或已完成手术。</w:t>
      </w:r>
    </w:p>
    <w:p>
      <w:bookmarkStart w:id="1009" w:name="s1009"/>
      <w:pPr>
        <w:pStyle w:val="Heading1"/>
      </w:pPr>
      <w:r>
        <w:t>指南证据来源与版本更新</w:t>
      </w:r>
      <w:bookmarkEnd w:id="1009"/>
    </w:p>
    <w:p>
      <w:r>
        <w:t>按下列条目实际核验范围使用；书目核验、摘要核验与全文逐条核验不同。未核验的剂量、干预阈值及推荐等级不能自动启用。中国适用指南优先，国际体系需单独声明；引用仅为来源追溯，不复制指南原文、推荐表或受限图表。</w:t>
      </w:r>
    </w:p>
    <w:p>
      <w:pPr>
        <w:pStyle w:val="Heading2"/>
      </w:pPr>
      <w:r>
        <w:t>H1 中国心力衰竭诊断和治疗指南2024</w:t>
      </w:r>
    </w:p>
    <w:p>
      <w:r>
        <w:t>发布机构：中华医学会心血管病学分会、中国医师协会心血管内科医师分会、中国医师协会心力衰竭专业委员会、中华心血管病杂志编辑委员会。年份版本：2024。适用人群：成人急慢性心衰。</w:t>
      </w:r>
    </w:p>
    <w:p>
      <w:r>
        <w:t>本模块对应证据：心衰定义、容量评估、分型与治疗框架。核验范围：学会官网正文上下篇可读取核对。实际核验日期：2026-10-25。</w:t>
      </w:r>
    </w:p>
    <w:p>
      <w:r>
        <w:t>官方链接或DOI：https://csc.cma.org.cn/art/2024/4/18/art_619_56220.html</w:t>
      </w:r>
    </w:p>
    <w:p>
      <w:pPr>
        <w:pStyle w:val="Heading2"/>
      </w:pPr>
      <w:r>
        <w:t>H2 2026 ESC Guidelines for the management of heart failure</w:t>
      </w:r>
    </w:p>
    <w:p>
      <w:r>
        <w:t>发布机构：ESC。年份版本：2026；DOI 10.1093/eurheartj/ehag100。适用人群：成人心衰。</w:t>
      </w:r>
    </w:p>
    <w:p>
      <w:r>
        <w:t>本模块对应证据：新版本更新入口；具体新增推荐及阈值需逐条核对。核验范围：官方入口、期刊出版及部分正文核对；未据此批量替换中国2024框架。实际核验日期：2026-10-25。</w:t>
      </w:r>
    </w:p>
    <w:p>
      <w:r>
        <w:t>官方链接或DOI：https://academic.oup.com/eurheartj/article/47/38/5346/8766302</w:t>
      </w:r>
    </w:p>
    <w:p>
      <w:pPr>
        <w:pStyle w:val="Heading2"/>
      </w:pPr>
      <w:r>
        <w:t>CPR 2025 American Heart Association Guidelines for Cardiopulmonary Resuscitation and Emergency Cardiovascular Care Part 9 Adult Advanced Life Support</w:t>
      </w:r>
    </w:p>
    <w:p>
      <w:r>
        <w:t>发布机构：AHA。年份版本：2025。适用人群：成人心搏骤停及危及生命的心血管急症。</w:t>
      </w:r>
    </w:p>
    <w:p>
      <w:r>
        <w:t>本模块对应证据：复苏节律分流、可逆病因和复苏后衔接。核验范围：官方指南正文核对。实际核验日期：2026-10-25。</w:t>
      </w:r>
    </w:p>
    <w:p>
      <w:r>
        <w:t>官方链接或DOI：https://cpr.heart.org/en/resuscitation-science/cpr-and-ecc-guidelines/adult-advanced-life-support</w:t>
      </w:r>
    </w:p>
    <w:p>
      <w:pPr>
        <w:pStyle w:val="Heading2"/>
      </w:pPr>
      <w:r>
        <w:t>C3 2025 ACC/AHA/ACEP/NAEMSP/SCAI Guideline for the Management of Patients With Acute Coronary Syndromes</w:t>
      </w:r>
    </w:p>
    <w:p>
      <w:r>
        <w:t>发布机构：ACC、AHA、ACEP、NAEMSP、SCAI。年份版本：2025。适用人群：成人ACS。</w:t>
      </w:r>
    </w:p>
    <w:p>
      <w:r>
        <w:t>本模块对应证据：再灌注、抗栓及院后管理的国际补充依据。核验范围：官方指南入口及JACC出版记录核对。实际核验日期：2026-10-25。</w:t>
      </w:r>
    </w:p>
    <w:p>
      <w:r>
        <w:t>官方链接或DOI：https://www.acc.org/guidelines/guidelines/2025/02/27/17/21/acute-coronary-syndromes-2025</w:t>
      </w:r>
    </w:p>
    <w:p>
      <w:pPr>
        <w:pStyle w:val="Heading2"/>
      </w:pPr>
      <w:r>
        <w:t>SHOCK 2025 Concise Clinical Guidance An ACC Expert Consensus Statement on the Evaluation and Management of Cardiogenic Shock</w:t>
      </w:r>
    </w:p>
    <w:p>
      <w:r>
        <w:t>发布机构：ACC。年份版本：2025；DOI 10.1016/j.jacc.2025.02.018。适用人群：成人心源性休克。</w:t>
      </w:r>
    </w:p>
    <w:p>
      <w:r>
        <w:t>本模块对应证据：病因、血流动力学评估、团队与循环支持衔接。核验范围：原出版记录及相关正文检索核对。实际核验日期：2026-10-25。</w:t>
      </w:r>
    </w:p>
    <w:p>
      <w:r>
        <w:t>官方链接或DOI：https://www.jacc.org/doi/10.1016/j.jacc.2025.02.018</w:t>
      </w:r>
    </w:p>
    <w:p>
      <w:pPr>
        <w:pStyle w:val="Heading2"/>
      </w:pPr>
      <w:r>
        <w:t>VA 2022 ESC Guidelines for the management of patients with ventricular arrhythmias and the prevention of sudden cardiac death</w:t>
      </w:r>
    </w:p>
    <w:p>
      <w:r>
        <w:t>发布机构：ESC。年份版本：2022。适用人群：室性心律失常与猝死风险患者。</w:t>
      </w:r>
    </w:p>
    <w:p>
      <w:r>
        <w:t>本模块对应证据：可逆病因、结构性基础、消融及ICD评估。核验范围：官方入口及相关心肌病指南交叉核对。实际核验日期：2026-10-22。</w:t>
      </w:r>
    </w:p>
    <w:p>
      <w:r>
        <w:t>官方链接或DOI：https://www.escardio.org/guidelines/clinical-practice-guidelines/all-esc-practice-guidelines/ventricular-arrhythmias-and-the-prevention-of-sudden-cardiac-death/</w:t>
      </w:r>
    </w:p>
    <w:p>
      <w:pPr>
        <w:pStyle w:val="Heading2"/>
      </w:pPr>
      <w:r>
        <w:t>EP 2021 ESC Guidelines on cardiac pacing and cardiac resynchronization therapy</w:t>
      </w:r>
    </w:p>
    <w:p>
      <w:r>
        <w:t>发布机构：ESC。年份版本：2021；DOI 10.1093/eurheartj/ehab364。适用人群：缓慢性心律失常及CRT候选者。</w:t>
      </w:r>
    </w:p>
    <w:p>
      <w:r>
        <w:t>本模块对应证据：起搏证据、装置选择及随访框架。核验范围：官方入口及期刊正文核对。实际核验日期：2026-10-22。</w:t>
      </w:r>
    </w:p>
    <w:p>
      <w:r>
        <w:t>官方链接或DOI：https://academic.oup.com/eurheartj/article/42/35/3427/6358547</w:t>
      </w:r>
    </w:p>
    <w:p>
      <w:pPr>
        <w:pStyle w:val="Heading2"/>
      </w:pPr>
      <w:r>
        <w:t>N4 医疗质量安全核心制度要点</w:t>
      </w:r>
    </w:p>
    <w:p>
      <w:r>
        <w:t>发布机构：国家卫生健康委员会。年份版本：2018；国卫医发〔2018〕8号。适用人群：各级各类医疗机构。</w:t>
      </w:r>
    </w:p>
    <w:p>
      <w:r>
        <w:t>本模块对应证据：三级查房、会诊、危重抢救、查对及危急值制度。核验范围：官方通知及解读核对。实际核验日期：2026-10-25。</w:t>
      </w:r>
    </w:p>
    <w:p>
      <w:r>
        <w:t>官方链接或DOI：https://www.nhc.gov.cn/yzygj/c100068/201804/42ab2552298047679cd6ec733f233862.shtml</w:t>
      </w:r>
    </w:p>
    <w:p>
      <w:pPr>
        <w:pStyle w:val="Heading2"/>
      </w:pPr>
      <w:r>
        <w:t>N1 病历书写基本规范</w:t>
      </w:r>
    </w:p>
    <w:p>
      <w:r>
        <w:t>发布机构：卫生部。年份版本：2010；卫医政发〔2010〕11号。适用人群：中国医疗机构医学文书。</w:t>
      </w:r>
    </w:p>
    <w:p>
      <w:r>
        <w:t>本模块对应证据：客观真实及文书组成、完成时限；按院内现行制度落实。核验范围：官网发布正文检索核对；直接抓取曾返回412。实际核验日期：2026-10-25。</w:t>
      </w:r>
    </w:p>
    <w:p>
      <w:r>
        <w:t>官方链接或DOI：https://www.nhc.gov.cn/wjw/gfxwj/201002/79d42b9c8b3f47ee91000d31de116784.shtml</w:t>
      </w:r>
    </w:p>
    <w:p>
      <w:pPr>
        <w:pStyle w:val="Heading2"/>
      </w:pPr>
      <w:r>
        <w:t>版本维护与使用限制</w:t>
      </w:r>
    </w:p>
    <w:p>
      <w:r>
        <w:t>版本2.0采用00—11及101—108三级架构，替代旧10文件架构。维护时登记新来源、勘误、变更理由及受影响模块，修改后复跑20项验收与格式检查。院内及属地制度尚未提供，启用前由病案管理与责任医师核对文书栏目、时限、危急值阈值、签署和权限。Word是规则载体，需由可读取文件的AI环境执行调度，不自带医院系统集成或后台自动运行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Songti SC" w:hAnsi="Songti SC" w:eastAsia="Songti SC" w:cs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cstheme="majorBidi" w:ascii="Heiti SC" w:hAnsi="Heiti SC" w:eastAsia="Heiti SC" w:cs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cstheme="majorBidi" w:ascii="Heiti SC" w:hAnsi="Heiti SC" w:eastAsia="Heiti SC" w:cs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cstheme="majorBidi" w:ascii="Heiti SC" w:hAnsi="Heiti SC" w:eastAsia="Heiti SC" w:cs="Heiti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cstheme="majorBidi" w:ascii="Heiti SC" w:hAnsi="Heiti SC" w:eastAsia="Heiti SC" w:cs="Heiti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  <w:rPr>
      <w:rFonts w:ascii="Songti SC" w:hAnsi="Songti SC" w:eastAsia="Songti SC" w:cs="Songti SC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7" w:lineRule="auto" w:after="40"/>
    </w:pPr>
    <w:rPr>
      <w:rFonts w:ascii="Songti SC" w:hAnsi="Songti SC" w:eastAsia="Songti SC" w:cs="Songti SC"/>
      <w:color w:val="000000"/>
      <w:sz w:val="20"/>
    </w:rPr>
  </w:style>
  <w:style w:type="paragraph" w:customStyle="1" w:styleId="Meta">
    <w:name w:val="Meta"/>
    <w:pPr>
      <w:keepNext/>
      <w:spacing w:line="247" w:lineRule="auto" w:after="40"/>
    </w:pPr>
    <w:rPr>
      <w:rFonts w:ascii="Songti SC" w:hAnsi="Songti SC" w:eastAsia="Songti SC" w:cs="Songti SC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108心血管急危重症与CCU管理专病模板库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