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心内科AI自动调用路由与病例状态管理规则库</w:t>
      </w:r>
    </w:p>
    <w:p>
      <w:r>
        <w:t>文件名称：11心内科AI自动调用路由与病例状态管理规则库.docx</w:t>
      </w:r>
    </w:p>
    <w:p>
      <w:r>
        <w:t>第二级 版本2.0 构建日期2026年10月25日</w:t>
      </w:r>
    </w:p>
    <w:p>
      <w:r>
        <w:rPr>
          <w:b/>
        </w:rPr>
        <w:t>模块定位与职责：</w:t>
      </w:r>
      <w:r>
        <w:t>所有任务的调度中心及患者病例状态管理。</w:t>
      </w:r>
    </w:p>
    <w:p>
      <w:r>
        <w:rPr>
          <w:b/>
        </w:rPr>
        <w:t>调用条件：</w:t>
      </w:r>
      <w:r>
        <w:t>新患者、续写、再次住院、状态变化和所有文书请求。</w:t>
      </w:r>
    </w:p>
    <w:p>
      <w:r>
        <w:rPr>
          <w:b/>
        </w:rPr>
        <w:t>所需患者资料：</w:t>
      </w:r>
      <w:r>
        <w:t>28项状态字段、来源标识、实际发生与获知时间、目标记录时点。</w:t>
      </w:r>
    </w:p>
    <w:p>
      <w:r>
        <w:rPr>
          <w:b/>
        </w:rPr>
        <w:t>医学分析流程：</w:t>
      </w:r>
      <w:r>
        <w:t>锁定patient+encounter→可知信息过滤→快照更新→选择模块→10终审→保存版本。</w:t>
      </w:r>
    </w:p>
    <w:p>
      <w:r>
        <w:rPr>
          <w:b/>
        </w:rPr>
        <w:t>模块关系：</w:t>
      </w:r>
      <w:r>
        <w:t>受01约束；调度02—09和101—108；10负责放行。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患者识别与住院事件隔离</w:t>
        </w:r>
      </w:hyperlink>
    </w:p>
    <w:p>
      <w:pPr>
        <w:spacing w:after="0" w:line="240" w:lineRule="exact"/>
        <w:snapToGrid w:val="0"/>
      </w:pPr>
      <w:hyperlink w:anchor="s1002">
        <w:r>
          <w:t>二十八项病例状态字段</w:t>
        </w:r>
      </w:hyperlink>
    </w:p>
    <w:p>
      <w:pPr>
        <w:spacing w:after="0" w:line="240" w:lineRule="exact"/>
        <w:snapToGrid w:val="0"/>
      </w:pPr>
      <w:hyperlink w:anchor="s1003">
        <w:r>
          <w:t>未来信息隔离和时间轴</w:t>
        </w:r>
      </w:hyperlink>
    </w:p>
    <w:p>
      <w:pPr>
        <w:spacing w:after="0" w:line="240" w:lineRule="exact"/>
        <w:snapToGrid w:val="0"/>
      </w:pPr>
      <w:hyperlink w:anchor="s1004">
        <w:r>
          <w:t>诊断版本与动态用药</w:t>
        </w:r>
      </w:hyperlink>
    </w:p>
    <w:p>
      <w:pPr>
        <w:spacing w:after="0" w:line="240" w:lineRule="exact"/>
        <w:snapToGrid w:val="0"/>
      </w:pPr>
      <w:hyperlink w:anchor="s1005">
        <w:r>
          <w:t>介入 器械和呼吸循环支持状态转换</w:t>
        </w:r>
      </w:hyperlink>
    </w:p>
    <w:p>
      <w:pPr>
        <w:spacing w:after="0" w:line="240" w:lineRule="exact"/>
        <w:snapToGrid w:val="0"/>
      </w:pPr>
      <w:hyperlink w:anchor="s1006">
        <w:r>
          <w:t>标准路由和多病联合</w:t>
        </w:r>
      </w:hyperlink>
    </w:p>
    <w:p>
      <w:pPr>
        <w:spacing w:after="0" w:line="240" w:lineRule="exact"/>
        <w:snapToGrid w:val="0"/>
      </w:pPr>
      <w:hyperlink w:anchor="s1007">
        <w:r>
          <w:t>快照的可审计表达</w:t>
        </w:r>
      </w:hyperlink>
    </w:p>
    <w:p>
      <w:pPr>
        <w:spacing w:after="0" w:line="240" w:lineRule="exact"/>
        <w:snapToGrid w:val="0"/>
      </w:pPr>
      <w:hyperlink w:anchor="s1008">
        <w:r>
          <w:t>续写工作示范与禁止事项</w:t>
        </w:r>
      </w:hyperlink>
    </w:p>
    <w:p>
      <w:pPr>
        <w:spacing w:after="0" w:line="240" w:lineRule="exact"/>
        <w:snapToGrid w:val="0"/>
      </w:pPr>
      <w:hyperlink w:anchor="s1009">
        <w:r>
          <w:t>质量控制与异常返回</w:t>
        </w:r>
      </w:hyperlink>
    </w:p>
    <w:p>
      <w:pPr>
        <w:spacing w:after="0" w:line="240" w:lineRule="exact"/>
        <w:snapToGrid w:val="0"/>
      </w:pPr>
      <w:hyperlink w:anchor="s1010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患者识别与住院事件隔离</w:t>
      </w:r>
      <w:bookmarkEnd w:id="1001"/>
    </w:p>
    <w:p>
      <w:r>
        <w:t>新患者新建patient_id及encounter_id；同名但病案号、出生或性别不同不合并。旧患者同次住院续写读取最新已确认快照；再次住院只保留有来源的稳定既往史，重新核对药物、抗栓、装置、监护和当前诊断。身份冲突冻结合并，保留两份来源等待核实。</w:t>
      </w:r>
    </w:p>
    <w:p>
      <w:bookmarkStart w:id="1002" w:name="s1002"/>
      <w:pPr>
        <w:pStyle w:val="Heading1"/>
      </w:pPr>
      <w:r>
        <w:t>二十八项病例状态字段</w:t>
      </w:r>
      <w:bookmarkEnd w:id="1002"/>
    </w:p>
    <w:p>
      <w:r>
        <w:rPr>
          <w:b/>
        </w:rPr>
        <w:t>1 患者身份：</w:t>
      </w:r>
      <w:r>
        <w:t>patient_id及经核对姓名性别出生或年龄；未知不推断</w:t>
      </w:r>
    </w:p>
    <w:p>
      <w:r>
        <w:rPr>
          <w:b/>
        </w:rPr>
        <w:t>2 当前住院次数：</w:t>
      </w:r>
      <w:r>
        <w:t>encounter_id与住院次数，以本次事件隔离</w:t>
      </w:r>
    </w:p>
    <w:p>
      <w:r>
        <w:rPr>
          <w:b/>
        </w:rPr>
        <w:t>3 当前文书类型：</w:t>
      </w:r>
      <w:r>
        <w:t>任务类型及目标记录时点</w:t>
      </w:r>
    </w:p>
    <w:p>
      <w:r>
        <w:rPr>
          <w:b/>
        </w:rPr>
        <w:t>4 入院时间：</w:t>
      </w:r>
      <w:r>
        <w:t>真实入院事件与记录可知时点</w:t>
      </w:r>
    </w:p>
    <w:p>
      <w:r>
        <w:rPr>
          <w:b/>
        </w:rPr>
        <w:t>5 主要诊断：</w:t>
      </w:r>
      <w:r>
        <w:t>名称、确定程度、证据与版本</w:t>
      </w:r>
    </w:p>
    <w:p>
      <w:r>
        <w:rPr>
          <w:b/>
        </w:rPr>
        <w:t>6 合并诊断：</w:t>
      </w:r>
      <w:r>
        <w:t>分别登记，不抢占主导风险</w:t>
      </w:r>
    </w:p>
    <w:p>
      <w:r>
        <w:rPr>
          <w:b/>
        </w:rPr>
        <w:t>7 诊断确定程度：</w:t>
      </w:r>
      <w:r>
        <w:t>确诊、考虑、待排、已排除等</w:t>
      </w:r>
    </w:p>
    <w:p>
      <w:r>
        <w:rPr>
          <w:b/>
        </w:rPr>
        <w:t>8 胸痛与症状变化：</w:t>
      </w:r>
      <w:r>
        <w:t>真实起病、持续、缓解和加重事件</w:t>
      </w:r>
    </w:p>
    <w:p>
      <w:r>
        <w:rPr>
          <w:b/>
        </w:rPr>
        <w:t>9 心电图动态：</w:t>
      </w:r>
      <w:r>
        <w:t>每份图的时点及可比性，单份不造趋势</w:t>
      </w:r>
    </w:p>
    <w:p>
      <w:r>
        <w:rPr>
          <w:b/>
        </w:rPr>
        <w:t>10 肌钙蛋白动态：</w:t>
      </w:r>
      <w:r>
        <w:t>方法原值单位上限、采样及回报</w:t>
      </w:r>
    </w:p>
    <w:p>
      <w:r>
        <w:rPr>
          <w:b/>
        </w:rPr>
        <w:t>11 心功能：</w:t>
      </w:r>
      <w:r>
        <w:t>淤血灌注、LVEF表型、活动耐量分开</w:t>
      </w:r>
    </w:p>
    <w:p>
      <w:r>
        <w:rPr>
          <w:b/>
        </w:rPr>
        <w:t>12 血压心率：</w:t>
      </w:r>
      <w:r>
        <w:t>值、条件及支持状态</w:t>
      </w:r>
    </w:p>
    <w:p>
      <w:r>
        <w:rPr>
          <w:b/>
        </w:rPr>
        <w:t>13 心律失常：</w:t>
      </w:r>
      <w:r>
        <w:t>证据、发作持续和有无脉搏</w:t>
      </w:r>
    </w:p>
    <w:p>
      <w:r>
        <w:rPr>
          <w:b/>
        </w:rPr>
        <w:t>14 最新检验影像：</w:t>
      </w:r>
      <w:r>
        <w:t>截至目标时点已经可知的版本</w:t>
      </w:r>
    </w:p>
    <w:p>
      <w:r>
        <w:rPr>
          <w:b/>
        </w:rPr>
        <w:t>15 当前药物：</w:t>
      </w:r>
      <w:r>
        <w:t>实际执行用药，不含纯知识推荐</w:t>
      </w:r>
    </w:p>
    <w:p>
      <w:r>
        <w:rPr>
          <w:b/>
        </w:rPr>
        <w:t>16 已停药物：</w:t>
      </w:r>
      <w:r>
        <w:t>停用依据与事件，不删除历史</w:t>
      </w:r>
    </w:p>
    <w:p>
      <w:r>
        <w:rPr>
          <w:b/>
        </w:rPr>
        <w:t>17 抗栓方案：</w:t>
      </w:r>
      <w:r>
        <w:t>抗凝与抗血小板、适应证和组合</w:t>
      </w:r>
    </w:p>
    <w:p>
      <w:r>
        <w:rPr>
          <w:b/>
        </w:rPr>
        <w:t>18 监护状态：</w:t>
      </w:r>
      <w:r>
        <w:t>病房/CCU、监护方式及升级降阶</w:t>
      </w:r>
    </w:p>
    <w:p>
      <w:r>
        <w:rPr>
          <w:b/>
        </w:rPr>
        <w:t>19 氧疗呼吸支持：</w:t>
      </w:r>
      <w:r>
        <w:t>方式参数、起停与实际状态</w:t>
      </w:r>
    </w:p>
    <w:p>
      <w:r>
        <w:rPr>
          <w:b/>
        </w:rPr>
        <w:t>20 介入状态：</w:t>
      </w:r>
      <w:r>
        <w:t>拟行、待行、实施中、已完成、术后、取消/延期</w:t>
      </w:r>
    </w:p>
    <w:p>
      <w:r>
        <w:rPr>
          <w:b/>
        </w:rPr>
        <w:t>21 植入器械：</w:t>
      </w:r>
      <w:r>
        <w:t>类型、实际植入、程控来源、留置状态</w:t>
      </w:r>
    </w:p>
    <w:p>
      <w:r>
        <w:rPr>
          <w:b/>
        </w:rPr>
        <w:t>22 并发症：</w:t>
      </w:r>
      <w:r>
        <w:t>证据、确定程度和处置闭环</w:t>
      </w:r>
    </w:p>
    <w:p>
      <w:r>
        <w:rPr>
          <w:b/>
        </w:rPr>
        <w:t>23 会诊意见：</w:t>
      </w:r>
      <w:r>
        <w:t>人员、意见、采纳及执行分别记录</w:t>
      </w:r>
    </w:p>
    <w:p>
      <w:r>
        <w:rPr>
          <w:b/>
        </w:rPr>
        <w:t>24 查房意见：</w:t>
      </w:r>
      <w:r>
        <w:t>姓名职称、真实参与与具体意见</w:t>
      </w:r>
    </w:p>
    <w:p>
      <w:r>
        <w:rPr>
          <w:b/>
        </w:rPr>
        <w:t>25 抢救事件：</w:t>
      </w:r>
      <w:r>
        <w:t>实际分钟级时点、措施、反应及结局</w:t>
      </w:r>
    </w:p>
    <w:p>
      <w:r>
        <w:rPr>
          <w:b/>
        </w:rPr>
        <w:t>26 出院准备：</w:t>
      </w:r>
      <w:r>
        <w:t>残余问题、带药、复查、交接</w:t>
      </w:r>
    </w:p>
    <w:p>
      <w:r>
        <w:rPr>
          <w:b/>
        </w:rPr>
        <w:t>27 病例时间轴：</w:t>
      </w:r>
      <w:r>
        <w:t>event_time、known_at、written_at及source_id</w:t>
      </w:r>
    </w:p>
    <w:p>
      <w:r>
        <w:rPr>
          <w:b/>
        </w:rPr>
        <w:t>28 当前病例快照：</w:t>
      </w:r>
      <w:r>
        <w:t>截至目标时点的状态、未决冲突和版本号</w:t>
      </w:r>
    </w:p>
    <w:p>
      <w:bookmarkStart w:id="1003" w:name="s1003"/>
      <w:pPr>
        <w:pStyle w:val="Heading1"/>
      </w:pPr>
      <w:r>
        <w:t>未来信息隔离和时间轴</w:t>
      </w:r>
      <w:bookmarkEnd w:id="1003"/>
    </w:p>
    <w:p>
      <w:r>
        <w:t>对每条资料同时保存event_time（临床发生/采样）、known_at（临床可获知）、written_at（记录完成）、source_id。生成目标时点T的病历只能使用event_time≤T且known_at≤T的资料；采样早但结果晚回报，不能提前引用数值。后续正式报告更改以新版本记录，不无痕覆盖。</w:t>
      </w:r>
    </w:p>
    <w:p>
      <w:r>
        <w:t>例：08:00抽血、09:30报告，补写09:00记录不能出现09:30才回报的肌钙蛋白；可据已确认事实写检查已送结果待回。明日PCI计划不改变今日术后状态；事后知道术后并发症不能写成术前已确认事实。危急值电话获知与正式报告不同，应保留电话接收证据及可知时点。</w:t>
      </w:r>
    </w:p>
    <w:p>
      <w:bookmarkStart w:id="1004" w:name="s1004"/>
      <w:pPr>
        <w:pStyle w:val="Heading1"/>
      </w:pPr>
      <w:r>
        <w:t>诊断版本与动态用药</w:t>
      </w:r>
      <w:bookmarkEnd w:id="1004"/>
    </w:p>
    <w:p>
      <w:r>
        <w:t>诊断账本包含Dx_v、旧结论、新结论、确定程度、证据来源及可知时间、变更理由与责任医师确认。症状诊断可演变为ACS或其他病因，但原先证据不足的状态不能被删掉；出院诊断以全住院已核实证据终结。</w:t>
      </w:r>
    </w:p>
    <w:p>
      <w:r>
        <w:t>药物账本每项保存A级知识、B级计划、已下达未执行、C级执行、暂停、停用、恢复、结束及调整原因。仅下医嘱不等于C级给药。按目标时点生成当前用药；已停药不继续写正在使用；真实口服或泵药途径剂量频次及执行来源齐备。</w:t>
      </w:r>
    </w:p>
    <w:p>
      <w:bookmarkStart w:id="1005" w:name="s1005"/>
      <w:pPr>
        <w:pStyle w:val="Heading1"/>
      </w:pPr>
      <w:r>
        <w:t>介入 器械和呼吸循环支持状态转换</w:t>
      </w:r>
      <w:bookmarkEnd w:id="1005"/>
    </w:p>
    <w:p>
      <w:r>
        <w:t>操作状态：拟行→待行→正在实施→已完成→术后观察；任何阶段可依据真实事件取消或延期。手术完成需实际操作记录或责任医师可靠确认，不仅凭排班单。术后日数依真实日期和本院口径，不凭模板计算。</w:t>
      </w:r>
    </w:p>
    <w:p>
      <w:r>
        <w:t>器械区分计划、已植入、在位、已移除、功能待评和已程控；监护与临时起搏不能写永久装置。呼吸循环支持记录开始、参数调整、撤离及实际反应。装置拔除后不继续写在位，参数未知不能由型号估计。</w:t>
      </w:r>
    </w:p>
    <w:p>
      <w:bookmarkStart w:id="1006" w:name="s1006"/>
      <w:pPr>
        <w:pStyle w:val="Heading1"/>
      </w:pPr>
      <w:r>
        <w:t>标准路由和多病联合</w:t>
      </w:r>
      <w:bookmarkEnd w:id="1006"/>
    </w:p>
    <w:p>
      <w:r>
        <w:rPr>
          <w:b/>
        </w:rPr>
        <w:t>写首次病程：</w:t>
      </w:r>
      <w:r>
        <w:t>02+相关101—108；资料补采03、检查04、治疗07；最终调用10。</w:t>
      </w:r>
    </w:p>
    <w:p>
      <w:r>
        <w:rPr>
          <w:b/>
        </w:rPr>
        <w:t>分析心电图：</w:t>
      </w:r>
      <w:r>
        <w:t>04+103；缺血联101，结构病联102/105；最终调用10。</w:t>
      </w:r>
    </w:p>
    <w:p>
      <w:r>
        <w:rPr>
          <w:b/>
        </w:rPr>
        <w:t>写主任查房：</w:t>
      </w:r>
      <w:r>
        <w:t>08+主要疾病专病；异常联06；最终调用10。</w:t>
      </w:r>
    </w:p>
    <w:p>
      <w:r>
        <w:rPr>
          <w:b/>
        </w:rPr>
        <w:t>PCI术后首次病程：</w:t>
      </w:r>
      <w:r>
        <w:t>05+107+101；须已完成状态；最终调用10。</w:t>
      </w:r>
    </w:p>
    <w:p>
      <w:r>
        <w:rPr>
          <w:b/>
        </w:rPr>
        <w:t>突发心衰：</w:t>
      </w:r>
      <w:r>
        <w:t>06+102，低氧低灌注联108；最终调用10。</w:t>
      </w:r>
    </w:p>
    <w:p>
      <w:r>
        <w:rPr>
          <w:b/>
        </w:rPr>
        <w:t>肺栓塞及抗凝：</w:t>
      </w:r>
      <w:r>
        <w:t>106+07，危重联06/108；最终调用10。</w:t>
      </w:r>
    </w:p>
    <w:p>
      <w:r>
        <w:rPr>
          <w:b/>
        </w:rPr>
        <w:t>出院：</w:t>
      </w:r>
      <w:r>
        <w:t>02+09+相关专病；最终调用10。</w:t>
      </w:r>
    </w:p>
    <w:p>
      <w:r>
        <w:rPr>
          <w:b/>
        </w:rPr>
        <w:t>多病共存：</w:t>
      </w:r>
      <w:r>
        <w:t>主导风险确定主线，合并101/102/103等，由07统一检查抗栓及血流动力学风险；最终调用10。</w:t>
      </w:r>
    </w:p>
    <w:p>
      <w:bookmarkStart w:id="1007" w:name="s1007"/>
      <w:pPr>
        <w:pStyle w:val="Heading1"/>
      </w:pPr>
      <w:r>
        <w:t>快照的可审计表达</w:t>
      </w:r>
      <w:bookmarkEnd w:id="1007"/>
    </w:p>
    <w:p>
      <w:r>
        <w:t>快照字段示意：patient_id、encounter_id、as_of、snapshot_version、active_diagnoses、pending_diagnoses、medication_events、procedure_state、devices、support、events、conflicts、sources。快照只缓存已有事实，不替代原始报告；每次输出可追溯到使用的版本。</w:t>
      </w:r>
    </w:p>
    <w:p>
      <w:bookmarkStart w:id="1008" w:name="s1008"/>
      <w:pPr>
        <w:pStyle w:val="Heading1"/>
      </w:pPr>
      <w:r>
        <w:t>续写工作示范与禁止事项</w:t>
      </w:r>
      <w:bookmarkEnd w:id="1008"/>
    </w:p>
    <w:p>
      <w:r>
        <w:t>同次住院续写：只更新当日真实症状查体、新结果、已确认诊断修正和用药操作事件。稳定史可引用但不扩写当日阴性体征。禁止跨住院默认延续抗栓、未来结果提前引用、默认已查房、按疾病常规生成药物及无依据改状态。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及变化〉。查体〈当日实测情况〉。检查〈截至本记录时点已回报结果及其意义〉。目前〈当前诊断版本和风险判断〉，〈实际用药及操作状态、疗效与问题〉，拟〈已确认计划和复评指标〉。</w:t>
      </w:r>
    </w:p>
    <w:p>
      <w:pPr>
        <w:pStyle w:val="Code"/>
      </w:pPr>
      <w:r>
        <w:t>```</w:t>
      </w:r>
    </w:p>
    <w:p>
      <w:bookmarkStart w:id="1009" w:name="s1009"/>
      <w:pPr>
        <w:pStyle w:val="Heading1"/>
      </w:pPr>
      <w:r>
        <w:t>质量控制与异常返回</w:t>
      </w:r>
      <w:bookmarkEnd w:id="1009"/>
    </w:p>
    <w:p>
      <w:r>
        <w:t>身份或关键时间冲突→冻结相应事实→10判定严重程度→短提示核实，不输出正式净稿。一般格式错误可自动修正后重新终审；关键事实不能自动改。完成20项虚构病例路由和状态测试，结果见10附录。</w:t>
      </w:r>
    </w:p>
    <w:p>
      <w:bookmarkStart w:id="1010" w:name="s1010"/>
      <w:pPr>
        <w:pStyle w:val="Heading1"/>
      </w:pPr>
      <w:r>
        <w:t>指南证据来源与版本更新</w:t>
      </w:r>
      <w:bookmarkEnd w:id="1010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N1 病历书写基本规范</w:t>
      </w:r>
    </w:p>
    <w:p>
      <w:r>
        <w:t>发布机构：卫生部。年份版本：2010；卫医政发〔2010〕11号。适用人群：中国医疗机构医学文书。</w:t>
      </w:r>
    </w:p>
    <w:p>
      <w:r>
        <w:t>本模块对应证据：客观真实及文书组成、完成时限；按院内现行制度落实。核验范围：官网发布正文检索核对；直接抓取曾返回412。实际核验日期：2026-10-25。</w:t>
      </w:r>
    </w:p>
    <w:p>
      <w:r>
        <w:t>官方链接或DOI：https://www.nhc.gov.cn/wjw/gfxwj/201002/79d42b9c8b3f47ee91000d31de116784.shtml</w:t>
      </w:r>
    </w:p>
    <w:p>
      <w:pPr>
        <w:pStyle w:val="Heading2"/>
      </w:pPr>
      <w:r>
        <w:t>N3 电子病历应用管理规范（试行）</w:t>
      </w:r>
    </w:p>
    <w:p>
      <w:r>
        <w:t>发布机构：国家卫生计生委办公厅、国家中医药管理局办公室。年份版本：2017；国卫办医发〔2017〕8号。适用人群：电子病历建立、修改、保存与使用。</w:t>
      </w:r>
    </w:p>
    <w:p>
      <w:r>
        <w:t>本模块对应证据：身份认证、权限、操作留痕；AI输出不能代替签名。核验范围：官方发布页及正文可检索。实际核验日期：2026-10-25。</w:t>
      </w:r>
    </w:p>
    <w:p>
      <w:r>
        <w:t>官方链接或DOI：https://www.nhc.gov.cn/wjw/c100175/201702/90f3de8ae03d488cbddf509dc958f75b.shtml</w:t>
      </w:r>
    </w:p>
    <w:p>
      <w:pPr>
        <w:pStyle w:val="Heading2"/>
      </w:pPr>
      <w:r>
        <w:t>N4 医疗质量安全核心制度要点</w:t>
      </w:r>
    </w:p>
    <w:p>
      <w:r>
        <w:t>发布机构：国家卫生健康委员会。年份版本：2018；国卫医发〔2018〕8号。适用人群：各级各类医疗机构。</w:t>
      </w:r>
    </w:p>
    <w:p>
      <w:r>
        <w:t>本模块对应证据：三级查房、会诊、危重抢救、查对及危急值制度。核验范围：官方通知及解读核对。实际核验日期：2026-10-25。</w:t>
      </w:r>
    </w:p>
    <w:p>
      <w:r>
        <w:t>官方链接或DOI：https://www.nhc.gov.cn/yzygj/c100068/201804/42ab2552298047679cd6ec733f233862.shtml</w:t>
      </w:r>
    </w:p>
    <w:p>
      <w:pPr>
        <w:pStyle w:val="Heading2"/>
      </w:pPr>
      <w:r>
        <w:t>N5 关于进一步加强医疗机构电子病历信息使用管理的通知</w:t>
      </w:r>
    </w:p>
    <w:p>
      <w:r>
        <w:t>发布机构：国家卫生健康委办公厅、国家中医药局综合司、国家疾控局综合司。年份版本：2025。适用人群：医疗机构电子病历信息管理。</w:t>
      </w:r>
    </w:p>
    <w:p>
      <w:r>
        <w:t>本模块对应证据：权限、使用审批、信息安全及记录追溯。核验范围：官方通知检索核对。实际核验日期：2026-10-25。</w:t>
      </w:r>
    </w:p>
    <w:p>
      <w:r>
        <w:t>官方链接或DOI：https://www.nhc.gov.cn/yzygj/c100068/202506/c68abee7c54b4651a774cd533761780b.shtml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11心内科AI自动调用路由与病例状态管理规则库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