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03 内分泌科专科查体症状评估与内分泌轴定位模板库</w:t>
      </w:r>
    </w:p>
    <w:p>
      <w:pPr>
        <w:pStyle w:val="Subtitle"/>
      </w:pPr>
      <w:r>
        <w:t>内分泌科AI病历书写系统 V1.0</w:t>
      </w:r>
    </w:p>
    <w:p>
      <w:r>
        <w:t>文件编号 03</w:t>
        <w:br/>
        <w:t>版本 V1.0</w:t>
        <w:br/>
        <w:t>所属层级 第二级 通用功能层</w:t>
        <w:br/>
        <w:t>建设及来源核验日期 2026年10月26日</w:t>
        <w:br/>
        <w:t>适用对象 内分泌科责任医师与病案质控人员</w:t>
      </w:r>
    </w:p>
    <w:p>
      <w:r>
        <w:t>模块职责：内分泌科专科查体症状评估与内分泌轴定位模板库。本文件提供规则、可填写模板及虚构案例，供医师审核后使用。模板中的待填字段不是患者事实；未完成来源核验与科室审核的条款不作为自动诊疗依据。</w:t>
      </w:r>
    </w:p>
    <w:p>
      <w:pPr>
        <w:pStyle w:val="Heading1"/>
      </w:pPr>
      <w:r>
        <w:t>适用场景与自动调用</w:t>
      </w:r>
    </w:p>
    <w:p>
      <w:r>
        <w:t>当00和11识别到内分泌科专科查体症状评估与内分泌轴定位模板库对应任务时加载；涉及多问题按最小充分原则联合相关模块。通用流程为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pStyle w:val="Heading1"/>
      </w:pPr>
      <w:r>
        <w:t>目录</w:t>
      </w:r>
    </w:p>
    <w:p>
      <w:pPr/>
      <w:r>
        <w:t>实际查体与症状采集流程</w:t>
      </w:r>
    </w:p>
    <w:p>
      <w:pPr/>
      <w:r>
        <w:t>内分泌专科体征模板</w:t>
      </w:r>
    </w:p>
    <w:p>
      <w:pPr/>
      <w:r>
        <w:t>症状评估与专科检查采集卡</w:t>
      </w:r>
    </w:p>
    <w:p>
      <w:pPr/>
      <w:r>
        <w:t>糖尿病足与神经血管检查</w:t>
      </w:r>
    </w:p>
    <w:p>
      <w:pPr/>
      <w:r>
        <w:t>六条内分泌轴的定位逻辑</w:t>
      </w:r>
    </w:p>
    <w:p>
      <w:pPr/>
      <w:r>
        <w:t>虚构足部检查示例</w:t>
      </w:r>
    </w:p>
    <w:p>
      <w:pPr/>
      <w:r>
        <w:t>事实边界与禁止事项</w:t>
      </w:r>
    </w:p>
    <w:p>
      <w:pPr/>
      <w:r>
        <w:t>常见错误与质量清单</w:t>
      </w:r>
    </w:p>
    <w:p>
      <w:pPr/>
      <w:r>
        <w:t>模块协同与更新</w:t>
      </w:r>
    </w:p>
    <w:p>
      <w:pPr/>
      <w:r>
        <w:t>参考指南与版本核验</w:t>
      </w:r>
    </w:p>
    <w:p>
      <w:r>
        <w:t>上述为完整主题目录，可通过Word或WPS导航窗格定位。下列域可在支持的编辑器中更新页码。</w:t>
      </w:r>
    </w:p>
    <w:p>
      <w:r/>
      <w:fldSimple w:instr="TOC \o &quot;1-2&quot; \h \z \u"/>
    </w:p>
    <w:p>
      <w:r>
        <w:br w:type="page"/>
      </w:r>
    </w:p>
    <w:p>
      <w:pPr>
        <w:pStyle w:val="Heading1"/>
      </w:pPr>
      <w:r>
        <w:t>实际查体与症状采集流程</w:t>
      </w:r>
    </w:p>
    <w:p>
      <w:pPr/>
      <w:r>
        <w:t>先问症状、起病和变化，再记录当日实测与查体；既往结果只作病史。身高以m、体重以kg时BMI=体重/身高²，必须保留原始实测值和计算说明。无身高或体重不补BMI；体重、腰围及体位血压注明方法、时间和体位。未查的第二性征或足部检查不写阴性。</w:t>
      </w:r>
    </w:p>
    <w:p>
      <w:pPr>
        <w:pStyle w:val="Heading1"/>
      </w:pPr>
      <w:r>
        <w:t>内分泌专科体征模板</w:t>
      </w:r>
    </w:p>
    <w:p>
      <w:pPr/>
      <w:r>
        <w:t>营养与体型：[实查]；脂肪分布：[实查]；皮肤色素、紫纹、水肿、脱水、多毛痤疮脱发：[分别实查]；甲状腺大小、质地、结节、压痛及血管杂音：[实查]；眼征：[实查]；心率血压及体位变化：[实测]；近端肌力、骨骼体态、第二性征和乳房溢液等：[有适应证且实际检查项目]。只输出已检查项，不将模板的列举写成全部正常。</w:t>
      </w:r>
    </w:p>
    <w:p>
      <w:pPr>
        <w:pStyle w:val="Heading1"/>
      </w:pPr>
      <w:r>
        <w:t>症状评估与专科检查采集卡</w:t>
      </w:r>
    </w:p>
    <w:p>
      <w:pPr/>
      <w:r>
        <w:t>多饮多尿：核实尿量、饮水、血糖及血尿渗透背景，区分溶质和水利尿。体重变化：记录真实测量轨迹、进食、容量及药物，短期变化不直接认定激素病因。心悸怕热：核心率心律、甲功及感染药物，不能凭症状确诊甲亢。怕冷乏力：结合贫血、营养和甲状腺或肾上腺轴。头痛视力变化：明确急缓和视野线索，突发症状升级卒中等急症评估。月经和性功能变化：结合年龄周期、生育和药物，保护隐私。骨痛肌弱与骨折：核部位、外伤机制、钙磷及骨软化鉴别。</w:t>
      </w:r>
    </w:p>
    <w:p>
      <w:pPr/>
      <w:r>
        <w:t>身高体重腰围分别保留日期和测量方法；营养体型与脂肪分布只写实查。皮肤色素沉着记录部位和变化，紫纹记录实际形态不自动写库欣；水肿脱水应联系容量和心肾状态。多毛痤疮脱发记录起病速度和药物，快速男性化需专科评估。甲状腺触诊描述大小质地、结节及压痛，眼征记录实际发现，不能推断活动性或分级。心率血压体位变化均以实测值为依据，未按规范完成不能命名体位性低血压。肌力说明检查部位和近端受累；骨骼体态、第二性征、溢乳等仅在适应证及实际检查时记录。</w:t>
      </w:r>
    </w:p>
    <w:p>
      <w:pPr/>
      <w:r>
        <w:t>主诉及体征模板：[症状]起于[真实时间]，较前[患者真实描述或客观变化]；今日实际完成[检查项目及结果]。结合[已提供生化及临床背景]分析[轴及风险]，未完成项目保留待查。症状否认、生命体征稳定及无特殊体征均不得凭模板默认。</w:t>
      </w:r>
    </w:p>
    <w:p>
      <w:pPr>
        <w:pStyle w:val="Heading1"/>
      </w:pPr>
      <w:r>
        <w:t>糖尿病足与神经血管检查</w:t>
      </w:r>
    </w:p>
    <w:p>
      <w:pPr/>
      <w:r>
        <w:t>记录双足外观、皮肤温色、破溃位置及深度、感染表现、足背和胫后动脉等真实结果。10g尼龙单丝需注明实际检查部位、应答及方法，振动觉和踝反射分项写；检查未完成时保留待查状态。足风险等级必须注明所用体系、溃疡截肢史、感觉和血管依据，不因无破溃而称低风险或筛查正常。</w:t>
      </w:r>
    </w:p>
    <w:p>
      <w:pPr>
        <w:pStyle w:val="Heading1"/>
      </w:pPr>
      <w:r>
        <w:t>六条内分泌轴的定位逻辑</w:t>
      </w:r>
    </w:p>
    <w:p>
      <w:pPr/>
      <w:r>
        <w:t>甲状腺轴：FT4与TSH配对，区分原发和中枢，TSH正常不排除中枢缺乏。</w:t>
      </w:r>
    </w:p>
    <w:p>
      <w:pPr/>
      <w:r>
        <w:t>肾上腺轴：时间适配的皮质醇与ACTH配对，结合外源激素、应激和必要动态试验。</w:t>
      </w:r>
    </w:p>
    <w:p>
      <w:pPr/>
      <w:r>
        <w:t>性腺轴：性激素与LH FSH结合年龄性别周期及SHBG，不把重病性抑制直接当永久病变。</w:t>
      </w:r>
    </w:p>
    <w:p>
      <w:pPr/>
      <w:r>
        <w:t>GH轴：年龄适配IGF-1、表型和必要确认试验；随机GH受脉冲影响。</w:t>
      </w:r>
    </w:p>
    <w:p>
      <w:pPr/>
      <w:r>
        <w:t>甲旁钙磷：同背景钙磷PTH、镁、维D、肾功能互证；定位影像不作功能诊断。</w:t>
      </w:r>
    </w:p>
    <w:p>
      <w:pPr/>
      <w:r>
        <w:t>胰岛葡萄糖：血糖背景下C肽、抗体、病程和药物共同分型，低糖时的胰岛素必须结合同期低糖判断。</w:t>
      </w:r>
    </w:p>
    <w:p>
      <w:pPr>
        <w:pStyle w:val="Heading1"/>
      </w:pPr>
      <w:r>
        <w:t>虚构足部检查示例</w:t>
      </w:r>
    </w:p>
    <w:p>
      <w:pPr/>
      <w:r>
        <w:t>2026年10月26日 09:00 糖尿病足专科检查记录</w:t>
      </w:r>
    </w:p>
    <w:p>
      <w:pPr>
        <w:pStyle w:val="Code"/>
      </w:pPr>
      <w:r>
        <w:t>```text</w:t>
      </w:r>
    </w:p>
    <w:p>
      <w:pPr>
        <w:pStyle w:val="Code"/>
      </w:pPr>
      <w:r>
        <w:t>患者诉双足麻木，今日检查见双足皮肤完整，右足背动脉可触及，左足背动脉触诊较弱。10g尼龙单丝、振动觉及踝反射本次未实施，当前不能据此确定周围神经病变或足风险等级，拟进一步完成感觉及血管评估。</w:t>
      </w:r>
    </w:p>
    <w:p>
      <w:pPr>
        <w:pStyle w:val="Code"/>
      </w:pPr>
      <w:r>
        <w:t>```</w:t>
      </w:r>
    </w:p>
    <w:p>
      <w:pPr/>
      <w:r>
        <w:t>以上均为SIM-03虚构资料。</w:t>
      </w:r>
    </w:p>
    <w:p>
      <w:pPr>
        <w:pStyle w:val="Heading1"/>
      </w:pPr>
      <w:r>
        <w:t>事实边界与禁止事项</w:t>
      </w:r>
    </w:p>
    <w:p>
      <w:pPr/>
      <w:r>
        <w:t>逐项区分原始事实、临床解释、拟定建议、医师确认计划、已执行诊疗与未知状态。缺少记录不等于正常、否认或未实施；未提供数据不补造阴性体征、筛查结论、激素时点、药量、会诊意见或疗效。患者以姓名和住院号等两项可靠标识核对，床号不得作为唯一标识；每次住院单独隔离。身份冲突冻结引用，日期冲突保留来源并核实；后回报结果不得倒写为当时已知。禁止把筛查升格为确诊、影像等同功能、建议当执行、不同方法直接比较。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常见错误与质量清单</w:t>
      </w:r>
    </w:p>
    <w:p>
      <w:pPr/>
      <w:r>
        <w:t>输出前逐项检查身份和住院事件、记录与事件时点、数值单位和参考范围、激素节律体位和用药、诊断确定度、医嘱状态、真实医师意见、待回结果和复诊责任。任何关键冲突阻断相关结论；一般缺失在正文外列补充项，不能补写“正常”。</w:t>
      </w:r>
    </w:p>
    <w:p>
      <w:pPr>
        <w:pStyle w:val="Heading1"/>
      </w:pPr>
      <w:r>
        <w:t>模块协同与更新</w:t>
      </w:r>
    </w:p>
    <w:p>
      <w:pPr/>
      <w:r>
        <w:t>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r>
        <w:t>本库为可供AI读取的规则与Word模板，未部署电子病历接口、自动医嘱、患者数据库或跨会话记忆。科室负责人、相关亚专科与病案质控共同审校后进行院内试用；至少季度及重要指南、药品说明书、院内制度变化时复核。更新记录版本、来源、适用人群、阈值和影响模块，重跑10内相关病例。未核到全文或条款者标记待核验，不输出为已核验阈值。</w:t>
      </w:r>
    </w:p>
    <w:p>
      <w:pPr>
        <w:pStyle w:val="Heading1"/>
      </w:pPr>
      <w:r>
        <w:t>参考指南与版本核验</w:t>
      </w:r>
    </w:p>
    <w:p>
      <w:pPr/>
      <w:r>
        <w:t>R01 病历书写基本规范</w:t>
      </w:r>
    </w:p>
    <w:p>
      <w:pPr/>
      <w:r>
        <w:t>版本：原卫生部，2010，卫医政发〔2010〕11号</w:t>
      </w:r>
    </w:p>
    <w:p>
      <w:pPr/>
      <w:r>
        <w:t>核验范围：官方正文检索可见；用于真实性、栏目与记录要求</w:t>
      </w:r>
    </w:p>
    <w:p>
      <w:pPr/>
      <w:r>
        <w:t>来源：https://www.nhc.gov.cn/bgt/s10696/201002/8cd7d4d70f4b42da839d2428dcbf723c.shtml</w:t>
      </w:r>
    </w:p>
    <w:p>
      <w:pPr/>
      <w:r>
        <w:t>核验日期：2026-10-26</w:t>
      </w:r>
    </w:p>
    <w:p>
      <w:pPr>
        <w:spacing w:after="40"/>
      </w:pPr>
    </w:p>
    <w:p>
      <w:pPr/>
      <w:r>
        <w:t>R02 医疗质量安全核心制度要点</w:t>
      </w:r>
    </w:p>
    <w:p>
      <w:pPr/>
      <w:r>
        <w:t>版本：国家卫生健康委，2018</w:t>
      </w:r>
    </w:p>
    <w:p>
      <w:pPr/>
      <w:r>
        <w:t>核验范围：官方通知与制度适用范围检索可见；院内具体时限仍需核对</w:t>
      </w:r>
    </w:p>
    <w:p>
      <w:pPr/>
      <w:r>
        <w:t>来源：https://www.nhc.gov.cn/yzygj/c100068/201804/42ab2552298047679cd6ec733f233862.shtml</w:t>
      </w:r>
    </w:p>
    <w:p>
      <w:pPr/>
      <w:r>
        <w:t>核验日期：2026-10-26</w:t>
      </w:r>
    </w:p>
    <w:p>
      <w:pPr>
        <w:spacing w:after="40"/>
      </w:pPr>
    </w:p>
    <w:p>
      <w:pPr/>
      <w:r>
        <w:t>R03 电子病历应用管理规范 试行</w:t>
      </w:r>
    </w:p>
    <w:p>
      <w:pPr/>
      <w:r>
        <w:t>版本：原国家卫生计生委、国家中医药管理局，2017</w:t>
      </w:r>
    </w:p>
    <w:p>
      <w:pPr/>
      <w:r>
        <w:t>核验范围：官方正文检索可见；权限、修改留痕与医师签名</w:t>
      </w:r>
    </w:p>
    <w:p>
      <w:pPr/>
      <w:r>
        <w:t>来源：https://www.nhc.gov.cn/wjw/c100175/201702/90f3de8ae03d488cbddf509dc958f75b.shtml</w:t>
      </w:r>
    </w:p>
    <w:p>
      <w:pPr/>
      <w:r>
        <w:t>核验日期：2026-10-26</w:t>
      </w:r>
    </w:p>
    <w:p>
      <w:pPr>
        <w:spacing w:after="40"/>
      </w:pPr>
    </w:p>
    <w:p>
      <w:pPr/>
      <w:r>
        <w:t>R04 中国糖尿病防治指南 2024版</w:t>
      </w:r>
    </w:p>
    <w:p>
      <w:pPr/>
      <w:r>
        <w:t>版本：中华医学会糖尿病学分会，2025；DOI 10.3760/cma.j.cn115791-20241203-00705</w:t>
      </w:r>
    </w:p>
    <w:p>
      <w:pPr/>
      <w:r>
        <w:t>核验范围：学会发布、题名及版本已核；全量推荐逐条核验未完成，国内优先来源</w:t>
      </w:r>
    </w:p>
    <w:p>
      <w:pPr/>
      <w:r>
        <w:t>来源：https://diab.cma.org.cn/cn/ncontent.aspx?oid=3042</w:t>
      </w:r>
    </w:p>
    <w:p>
      <w:pPr/>
      <w:r>
        <w:t>核验日期：2026-10-26</w:t>
      </w:r>
    </w:p>
    <w:p>
      <w:pPr>
        <w:spacing w:after="40"/>
      </w:pPr>
    </w:p>
    <w:p>
      <w:pPr/>
      <w:r>
        <w:t>R10 Hormone Replacement in Hypopituitarism</w:t>
      </w:r>
    </w:p>
    <w:p>
      <w:pPr/>
      <w:r>
        <w:t>版本：Endocrine Society，2016</w:t>
      </w:r>
    </w:p>
    <w:p>
      <w:pPr/>
      <w:r>
        <w:t>核验范围：原始学会建议节选可见；中枢性甲减需联合FT4和垂体背景，不仅看TSH</w:t>
      </w:r>
    </w:p>
    <w:p>
      <w:pPr/>
      <w:r>
        <w:t>来源：https://www.endocrine.org/clinical-practice-guidelines/hormone-replacement-in-hypopituitarism</w:t>
      </w:r>
    </w:p>
    <w:p>
      <w:pPr/>
      <w:r>
        <w:t>核验日期：2026-10-26</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模块 03  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内分泌科AI病历书写系统 V1.0  |  模块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60" w:line="252" w:lineRule="auto"/>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内分泌科专科查体症状评估与内分泌轴定位模板库</dc:title>
  <dc:subject>内分泌科住院病历规则与模板</dc:subject>
  <dc:creator>病历模板库</dc:creator>
  <cp:keywords/>
  <dc:description>虚构病例用于规则级验收；临床使用须责任医师审核。</dc:description>
  <cp:lastModifiedBy/>
  <cp:revision>1</cp:revision>
  <dcterms:created xsi:type="dcterms:W3CDTF">2013-12-23T23:15:00Z</dcterms:created>
  <dcterms:modified xsi:type="dcterms:W3CDTF">2013-12-23T23:15:00Z</dcterms:modified>
  <cp:category/>
</cp:coreProperties>
</file>