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04 内分泌科检验激素影像及特殊检查结果分析模板库</w:t>
      </w:r>
    </w:p>
    <w:p>
      <w:pPr>
        <w:pStyle w:val="Subtitle"/>
      </w:pPr>
      <w:r>
        <w:t>内分泌科AI病历书写系统 V1.0</w:t>
      </w:r>
    </w:p>
    <w:p>
      <w:r>
        <w:t>文件编号 04</w:t>
        <w:br/>
        <w:t>版本 V1.0</w:t>
        <w:br/>
        <w:t>所属层级 第二级 通用功能层</w:t>
        <w:br/>
        <w:t>建设及来源核验日期 2026年10月26日</w:t>
        <w:br/>
        <w:t>适用对象 内分泌科责任医师与病案质控人员</w:t>
      </w:r>
    </w:p>
    <w:p>
      <w:r>
        <w:t>模块职责：内分泌科检验激素影像及特殊检查结果分析模板库。本文件提供规则、可填写模板及虚构案例，供医师审核后使用。模板中的待填字段不是患者事实；未完成来源核验与科室审核的条款不作为自动诊疗依据。</w:t>
      </w:r>
    </w:p>
    <w:p>
      <w:pPr>
        <w:pStyle w:val="Heading1"/>
      </w:pPr>
      <w:r>
        <w:t>适用场景与自动调用</w:t>
      </w:r>
    </w:p>
    <w:p>
      <w:r>
        <w:t>当00和11识别到内分泌科检验激素影像及特殊检查结果分析模板库对应任务时加载；涉及多问题按最小充分原则联合相关模块。通用流程为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pStyle w:val="Heading1"/>
      </w:pPr>
      <w:r>
        <w:t>目录</w:t>
      </w:r>
    </w:p>
    <w:p>
      <w:pPr/>
      <w:r>
        <w:t>报告原文与综合分析两种模式</w:t>
      </w:r>
    </w:p>
    <w:p>
      <w:pPr/>
      <w:r>
        <w:t>结果台账字段</w:t>
      </w:r>
    </w:p>
    <w:p>
      <w:pPr/>
      <w:r>
        <w:t>糖代谢解释</w:t>
      </w:r>
    </w:p>
    <w:p>
      <w:pPr/>
      <w:r>
        <w:t>CGM及血糖趋势模板</w:t>
      </w:r>
    </w:p>
    <w:p>
      <w:pPr/>
      <w:r>
        <w:t>已核验的有限数值规则及适用边界</w:t>
      </w:r>
    </w:p>
    <w:p>
      <w:pPr/>
      <w:r>
        <w:t>甲状腺检验与影像</w:t>
      </w:r>
    </w:p>
    <w:p>
      <w:pPr/>
      <w:r>
        <w:t>垂体肾上腺检验</w:t>
      </w:r>
    </w:p>
    <w:p>
      <w:pPr/>
      <w:r>
        <w:t>钙磷骨代谢与性腺代谢检验</w:t>
      </w:r>
    </w:p>
    <w:p>
      <w:pPr/>
      <w:r>
        <w:t>分析模板</w:t>
      </w:r>
    </w:p>
    <w:p>
      <w:pPr/>
      <w:r>
        <w:t>虚构不可比趋势案例</w:t>
      </w:r>
    </w:p>
    <w:p>
      <w:pPr/>
      <w:r>
        <w:t>事实边界与禁止事项</w:t>
      </w:r>
    </w:p>
    <w:p>
      <w:pPr/>
      <w:r>
        <w:t>常见错误与质量清单</w:t>
      </w:r>
    </w:p>
    <w:p>
      <w:pPr/>
      <w:r>
        <w:t>模块协同与更新</w:t>
      </w:r>
    </w:p>
    <w:p>
      <w:pPr/>
      <w:r>
        <w:t>参考指南与版本核验</w:t>
      </w:r>
    </w:p>
    <w:p>
      <w:r>
        <w:t>上述为完整主题目录，可通过Word或WPS导航窗格定位。下列域可在支持的编辑器中更新页码。</w:t>
      </w:r>
    </w:p>
    <w:p>
      <w:r/>
      <w:fldSimple w:instr="TOC \o &quot;1-2&quot; \h \z \u"/>
    </w:p>
    <w:p>
      <w:r>
        <w:br w:type="page"/>
      </w:r>
    </w:p>
    <w:p>
      <w:pPr>
        <w:pStyle w:val="Heading1"/>
      </w:pPr>
      <w:r>
        <w:t>报告原文与综合分析两种模式</w:t>
      </w:r>
    </w:p>
    <w:p>
      <w:pPr/>
      <w:r>
        <w:t>模式一忠实整理原报告名称、患者、标本日期、回报时间、项目、结果、单位、参考范围、方法、所见和意见；不得纠错后冒充原文。疑似识别错误标记待核。模式二按结果→检测条件→可比趋势→临床意义→可能病因→风险→后续评估组织；清楚区别来源与推论。报告“考虑”“建议排除”不变为确诊。</w:t>
      </w:r>
    </w:p>
    <w:p>
      <w:pPr>
        <w:pStyle w:val="Heading1"/>
      </w:pPr>
      <w:r>
        <w:t>结果台账字段</w:t>
      </w:r>
    </w:p>
    <w:p>
      <w:pPr/>
      <w:r>
        <w:t>患者双标识｜住院事件｜项目｜标本类型｜采样时间｜报告时间｜获得时间｜数值或所见原文｜单位｜参考范围｜方法或平台｜采样体位餐次周期｜用药干扰｜来源页码｜确定度。无方法或参考范围要说明解释限制；不同实验室若未确认可比性，分列结果不直接宣称升降幅度。</w:t>
      </w:r>
    </w:p>
    <w:p>
      <w:pPr>
        <w:pStyle w:val="Heading1"/>
      </w:pPr>
      <w:r>
        <w:t>糖代谢解释</w:t>
      </w:r>
    </w:p>
    <w:p>
      <w:pPr/>
      <w:r>
        <w:t>空腹、餐后、随机血糖和OGTT保留餐次或负荷背景，指尖与静脉诊断用途区别。HbA1c受贫血、输血、血红蛋白变异和肾病等影响；果糖胺受蛋白代谢影响。C肽必须结合同时血糖和肾功能，胰岛素受外源制剂与抗体干扰。抗体不单独决定当前代谢程度。血酮、尿酮及血气分别记录；尿酮不等于酸中毒。</w:t>
      </w:r>
    </w:p>
    <w:p>
      <w:pPr>
        <w:pStyle w:val="Heading1"/>
      </w:pPr>
      <w:r>
        <w:t>CGM及血糖趋势模板</w:t>
      </w:r>
    </w:p>
    <w:p>
      <w:pPr/>
      <w:r>
        <w:t>CGM记录设备、起止时点、时区、有效数据、平均值、变异、TIR TAR TBR及患者适用目标；缺原始数据不造比例。一般非妊娠成人TIR通常以3.9—10.0 mmol/L定义，妊娠等用专门范围。报告指标需注明分母及低值是否指尖核实。分析空腹、餐后、夜间和实际进餐用药；传感器滞后或压迫低值可影响判断。指尖多点监测不能推算CGM的TIR或低糖次数。</w:t>
      </w:r>
    </w:p>
    <w:p>
      <w:pPr>
        <w:pStyle w:val="Heading1"/>
      </w:pPr>
      <w:r>
        <w:t>已核验的有限数值规则及适用边界</w:t>
      </w:r>
    </w:p>
    <w:p>
      <w:pPr/>
      <w:r>
        <w:t>依据ADA 2026诊断章节，非妊娠糖尿病诊断可用HbA1c≥6.5%、空腹静脉血浆葡萄糖≥7.0 mmol/L或75g OGTT 2小时≥11.1 mmol/L等适用标准；典型高血糖症状或危象伴随机静脉血浆葡萄糖≥11.1 mmol/L可支持诊断。无明确高糖临床背景需确认性检测；HbA1c需标准化且无影响适用性的因素。上述为该来源的非妊娠标准，不与孕期或国内其他版本条款拼接。</w:t>
      </w:r>
    </w:p>
    <w:p>
      <w:pPr/>
      <w:r>
        <w:t>依据ADA 2026低血糖章节，1级为血糖&lt;3.9且≥3.0 mmol/L，2级为&lt;3.0 mmol/L，3级严重事件以需要他人协助的功能改变判定，不取决于数值。CGM的一般非妊娠成人目标须个体化；老年、妊娠、儿童等另用适用路径。具体住院控制目标、危象诊断和试验判读阈值未全量核验，不在本库自行硬编码。</w:t>
      </w:r>
    </w:p>
    <w:p>
      <w:pPr>
        <w:pStyle w:val="Heading1"/>
      </w:pPr>
      <w:r>
        <w:t>甲状腺检验与影像</w:t>
      </w:r>
    </w:p>
    <w:p>
      <w:pPr/>
      <w:r>
        <w:t>TSH FT4 FT3及总激素结合结合蛋白、药物、重病和妊娠解释；TRAb支持特定病因，TPOAb TgAb不等于当前功能异常。超声侧别大小及分级版本必须原样；细胞学和病理另列。核素解释考虑碘暴露和妊娠禁忌，甲状腺癌诊断和分期不得由结节分级替代。</w:t>
      </w:r>
    </w:p>
    <w:p>
      <w:pPr>
        <w:pStyle w:val="Heading1"/>
      </w:pPr>
      <w:r>
        <w:t>垂体肾上腺检验</w:t>
      </w:r>
    </w:p>
    <w:p>
      <w:pPr/>
      <w:r>
        <w:t>ACTH皮质醇注明同次采样、昼夜时点和外源激素，UFC核对24小时尿收集、肾功能和次数。DST或ACTH刺激需真实方案、给药与采样证据；方法相关界值不能跨平台套用。ARR必须保留醛固酮及肾素原值、肾素类型单位、体位、钾盐和药物；甲氧基肾上腺素类需看应激体位药物。PRL考虑宏泌乳素与钩状效应，IGF-1用年龄适配范围。MRI CT只完成定位和形态描述。</w:t>
      </w:r>
    </w:p>
    <w:p>
      <w:pPr>
        <w:pStyle w:val="Heading1"/>
      </w:pPr>
      <w:r>
        <w:t>钙磷骨代谢与性腺代谢检验</w:t>
      </w:r>
    </w:p>
    <w:p>
      <w:pPr/>
      <w:r>
        <w:t>总钙需结合白蛋白，优先按适用情境评离子钙及pH；不无条件套校正钙公式。磷镁PTH 25羟维D ALP肾功能成组解释。骨密度保留部位、仪器、T或Z指标适用性与骨折信息；骨转换标志物考虑空腹和采样时间。LH FSH睾酮雌二醇SHBG及PRL结合年龄、周期和制剂。血脂尿酸肝肾结果考虑空腹、药物、急病和检验干扰。</w:t>
      </w:r>
    </w:p>
    <w:p>
      <w:pPr>
        <w:pStyle w:val="Heading1"/>
      </w:pPr>
      <w:r>
        <w:t>分析模板</w:t>
      </w:r>
    </w:p>
    <w:p>
      <w:pPr/>
      <w:r>
        <w:t>[记录日期时间] 检验结果综合分析</w:t>
      </w:r>
    </w:p>
    <w:p>
      <w:pPr>
        <w:pStyle w:val="Code"/>
      </w:pPr>
      <w:r>
        <w:t>```text</w:t>
      </w:r>
    </w:p>
    <w:p>
      <w:pPr>
        <w:pStyle w:val="Code"/>
      </w:pPr>
      <w:r>
        <w:t>检验结果：[项目、采样日期时间、原值、单位、参考范围及方法]。检测条件：[体位、进食、周期、药物等]。趋势：[仅列可比时点]。临床意义：[与表型和轴配对的解释]。病因及风险：[支持、不支持与未明问题]。后续评估：[医师确认计划或明确标为建议]。</w:t>
      </w:r>
    </w:p>
    <w:p>
      <w:pPr>
        <w:pStyle w:val="Code"/>
      </w:pPr>
      <w:r>
        <w:t>```</w:t>
      </w:r>
    </w:p>
    <w:p>
      <w:pPr>
        <w:pStyle w:val="Heading1"/>
      </w:pPr>
      <w:r>
        <w:t>虚构不可比趋势案例</w:t>
      </w:r>
    </w:p>
    <w:p>
      <w:pPr/>
      <w:r>
        <w:t>2026年10月26日 09:00 激素结果分析</w:t>
      </w:r>
    </w:p>
    <w:p>
      <w:pPr>
        <w:pStyle w:val="Code"/>
      </w:pPr>
      <w:r>
        <w:t>```text</w:t>
      </w:r>
    </w:p>
    <w:p>
      <w:pPr>
        <w:pStyle w:val="Code"/>
      </w:pPr>
      <w:r>
        <w:t>10月24日皮质醇为260 nmol/L，10月26日另一实验室结果为11 μg/dL，两次采样时点和检测方法均未提供。当前不直接判断皮质醇上升或下降，亦不能由此确诊库欣综合征或肾上腺功能不全，需核对采样条件、平台与药物影响。</w:t>
      </w:r>
    </w:p>
    <w:p>
      <w:pPr>
        <w:pStyle w:val="Code"/>
      </w:pPr>
      <w:r>
        <w:t>```</w:t>
      </w:r>
    </w:p>
    <w:p>
      <w:pPr/>
      <w:r>
        <w:t>以上为SIM-04虚构数据。</w:t>
      </w:r>
    </w:p>
    <w:p>
      <w:pPr>
        <w:pStyle w:val="Heading1"/>
      </w:pPr>
      <w:r>
        <w:t>事实边界与禁止事项</w:t>
      </w:r>
    </w:p>
    <w:p>
      <w:pPr/>
      <w:r>
        <w:t>逐项区分原始事实、临床解释、拟定建议、医师确认计划、已执行诊疗与未知状态。缺少记录不等于正常、否认或未实施；未提供数据不补造阴性体征、筛查结论、激素时点、药量、会诊意见或疗效。患者以姓名和住院号等两项可靠标识核对，床号不得作为唯一标识；每次住院单独隔离。身份冲突冻结引用，日期冲突保留来源并核实；后回报结果不得倒写为当时已知。禁止把筛查升格为确诊、影像等同功能、建议当执行、不同方法直接比较。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常见错误与质量清单</w:t>
      </w:r>
    </w:p>
    <w:p>
      <w:pPr/>
      <w:r>
        <w:t>输出前逐项检查身份和住院事件、记录与事件时点、数值单位和参考范围、激素节律体位和用药、诊断确定度、医嘱状态、真实医师意见、待回结果和复诊责任。任何关键冲突阻断相关结论；一般缺失在正文外列补充项，不能补写“正常”。</w:t>
      </w:r>
    </w:p>
    <w:p>
      <w:pPr>
        <w:pStyle w:val="Heading1"/>
      </w:pPr>
      <w:r>
        <w:t>模块协同与更新</w:t>
      </w:r>
    </w:p>
    <w:p>
      <w:pPr/>
      <w:r>
        <w:t>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r>
        <w:t>本库为可供AI读取的规则与Word模板，未部署电子病历接口、自动医嘱、患者数据库或跨会话记忆。科室负责人、相关亚专科与病案质控共同审校后进行院内试用；至少季度及重要指南、药品说明书、院内制度变化时复核。更新记录版本、来源、适用人群、阈值和影响模块，重跑10内相关病例。未核到全文或条款者标记待核验，不输出为已核验阈值。</w:t>
      </w:r>
    </w:p>
    <w:p>
      <w:pPr>
        <w:pStyle w:val="Heading1"/>
      </w:pPr>
      <w:r>
        <w:t>参考指南与版本核验</w:t>
      </w:r>
    </w:p>
    <w:p>
      <w:pPr/>
      <w:r>
        <w:t>R01 病历书写基本规范</w:t>
      </w:r>
    </w:p>
    <w:p>
      <w:pPr/>
      <w:r>
        <w:t>版本：原卫生部，2010，卫医政发〔2010〕11号</w:t>
      </w:r>
    </w:p>
    <w:p>
      <w:pPr/>
      <w:r>
        <w:t>核验范围：官方正文检索可见；用于真实性、栏目与记录要求</w:t>
      </w:r>
    </w:p>
    <w:p>
      <w:pPr/>
      <w:r>
        <w:t>来源：https://www.nhc.gov.cn/bgt/s10696/201002/8cd7d4d70f4b42da839d2428dcbf723c.shtml</w:t>
      </w:r>
    </w:p>
    <w:p>
      <w:pPr/>
      <w:r>
        <w:t>核验日期：2026-10-26</w:t>
      </w:r>
    </w:p>
    <w:p>
      <w:pPr>
        <w:spacing w:after="40"/>
      </w:pPr>
    </w:p>
    <w:p>
      <w:pPr/>
      <w:r>
        <w:t>R02 医疗质量安全核心制度要点</w:t>
      </w:r>
    </w:p>
    <w:p>
      <w:pPr/>
      <w:r>
        <w:t>版本：国家卫生健康委，2018</w:t>
      </w:r>
    </w:p>
    <w:p>
      <w:pPr/>
      <w:r>
        <w:t>核验范围：官方通知与制度适用范围检索可见；院内具体时限仍需核对</w:t>
      </w:r>
    </w:p>
    <w:p>
      <w:pPr/>
      <w:r>
        <w:t>来源：https://www.nhc.gov.cn/yzygj/c100068/201804/42ab2552298047679cd6ec733f233862.shtml</w:t>
      </w:r>
    </w:p>
    <w:p>
      <w:pPr/>
      <w:r>
        <w:t>核验日期：2026-10-26</w:t>
      </w:r>
    </w:p>
    <w:p>
      <w:pPr>
        <w:spacing w:after="40"/>
      </w:pPr>
    </w:p>
    <w:p>
      <w:pPr/>
      <w:r>
        <w:t>R03 电子病历应用管理规范 试行</w:t>
      </w:r>
    </w:p>
    <w:p>
      <w:pPr/>
      <w:r>
        <w:t>版本：原国家卫生计生委、国家中医药管理局，2017</w:t>
      </w:r>
    </w:p>
    <w:p>
      <w:pPr/>
      <w:r>
        <w:t>核验范围：官方正文检索可见；权限、修改留痕与医师签名</w:t>
      </w:r>
    </w:p>
    <w:p>
      <w:pPr/>
      <w:r>
        <w:t>来源：https://www.nhc.gov.cn/wjw/c100175/201702/90f3de8ae03d488cbddf509dc958f75b.shtml</w:t>
      </w:r>
    </w:p>
    <w:p>
      <w:pPr/>
      <w:r>
        <w:t>核验日期：2026-10-26</w:t>
      </w:r>
    </w:p>
    <w:p>
      <w:pPr>
        <w:spacing w:after="40"/>
      </w:pPr>
    </w:p>
    <w:p>
      <w:pPr/>
      <w:r>
        <w:t>R04 中国糖尿病防治指南 2024版</w:t>
      </w:r>
    </w:p>
    <w:p>
      <w:pPr/>
      <w:r>
        <w:t>版本：中华医学会糖尿病学分会，2025；DOI 10.3760/cma.j.cn115791-20241203-00705</w:t>
      </w:r>
    </w:p>
    <w:p>
      <w:pPr/>
      <w:r>
        <w:t>核验范围：学会发布、题名及版本已核；全量推荐逐条核验未完成，国内优先来源</w:t>
      </w:r>
    </w:p>
    <w:p>
      <w:pPr/>
      <w:r>
        <w:t>来源：https://diab.cma.org.cn/cn/ncontent.aspx?oid=3042</w:t>
      </w:r>
    </w:p>
    <w:p>
      <w:pPr/>
      <w:r>
        <w:t>核验日期：2026-10-26</w:t>
      </w:r>
    </w:p>
    <w:p>
      <w:pPr>
        <w:spacing w:after="40"/>
      </w:pPr>
    </w:p>
    <w:p>
      <w:pPr/>
      <w:r>
        <w:t>R05 Diagnosis and Classification of Diabetes Standards of Care 2026</w:t>
      </w:r>
    </w:p>
    <w:p>
      <w:pPr/>
      <w:r>
        <w:t>版本：ADA，2026；DOI 10.2337/dc26-s002</w:t>
      </w:r>
    </w:p>
    <w:p>
      <w:pPr/>
      <w:r>
        <w:t>核验范围：原始期刊页面诊断与确认检测条款可见；非妊娠人群</w:t>
      </w:r>
    </w:p>
    <w:p>
      <w:pPr/>
      <w:r>
        <w:t>来源：https://doi.org/10.2337/dc26-s002</w:t>
      </w:r>
    </w:p>
    <w:p>
      <w:pPr/>
      <w:r>
        <w:t>核验日期：2026-10-26</w:t>
      </w:r>
    </w:p>
    <w:p>
      <w:pPr>
        <w:spacing w:after="40"/>
      </w:pPr>
    </w:p>
    <w:p>
      <w:pPr/>
      <w:r>
        <w:t>R06 Glycemic Goals Hypoglycemia and Hyperglycemic Crises Standards of Care 2026</w:t>
      </w:r>
    </w:p>
    <w:p>
      <w:pPr/>
      <w:r>
        <w:t>版本：ADA，2026；DOI 10.2337/dc26-s006</w:t>
      </w:r>
    </w:p>
    <w:p>
      <w:pPr/>
      <w:r>
        <w:t>核验范围：原始期刊页面低血糖分级、CGM指标及个体化目标可见；不能套用妊娠或儿童</w:t>
      </w:r>
    </w:p>
    <w:p>
      <w:pPr/>
      <w:r>
        <w:t>来源：https://doi.org/10.2337/dc26-s006</w:t>
      </w:r>
    </w:p>
    <w:p>
      <w:pPr/>
      <w:r>
        <w:t>核验日期：2026-10-26</w:t>
      </w:r>
    </w:p>
    <w:p>
      <w:pPr>
        <w:spacing w:after="40"/>
      </w:pPr>
    </w:p>
    <w:p>
      <w:pPr/>
      <w:r>
        <w:t>R07 Hyperglycemic Crises in Adults With Diabetes A Consensus Report</w:t>
      </w:r>
    </w:p>
    <w:p>
      <w:pPr/>
      <w:r>
        <w:t>版本：ADA等，2024；DOI 10.2337/dci24-0032</w:t>
      </w:r>
    </w:p>
    <w:p>
      <w:pPr/>
      <w:r>
        <w:t>核验范围：原始期刊范围和多维诊断路径已核；具体处置剂量与完整阈值未逐条核验，不内置自动方案</w:t>
      </w:r>
    </w:p>
    <w:p>
      <w:pPr/>
      <w:r>
        <w:t>来源：https://diabetesjournals.org/care/article/47/8/1257/156811/Hyperglycemic-Crises-in-Adults-With-Diabetes-A</w:t>
      </w:r>
    </w:p>
    <w:p>
      <w:pPr/>
      <w:r>
        <w:t>核验日期：2026-10-26</w:t>
      </w:r>
    </w:p>
    <w:p>
      <w:pPr>
        <w:spacing w:after="40"/>
      </w:pPr>
    </w:p>
    <w:p>
      <w:pPr/>
      <w:r>
        <w:t>R08 中国1型糖尿病诊治指南 2021版及糖尿病并发症指南</w:t>
      </w:r>
    </w:p>
    <w:p>
      <w:pPr/>
      <w:r>
        <w:t>版本：中华医学会糖尿病学分会指南目录，检索2026-10-26</w:t>
      </w:r>
    </w:p>
    <w:p>
      <w:pPr/>
      <w:r>
        <w:t>核验范围：目录核验：2021年1型、2021年肾脏病、2024年基层神经病变、2023年基层肾脏病；全文条款待核验</w:t>
      </w:r>
    </w:p>
    <w:p>
      <w:pPr/>
      <w:r>
        <w:t>来源：https://diab.cma.org.cn/cn/zhinangongshi.aspx</w:t>
      </w:r>
    </w:p>
    <w:p>
      <w:pPr/>
      <w:r>
        <w:t>核验日期：2026-10-26</w:t>
      </w:r>
    </w:p>
    <w:p>
      <w:pPr>
        <w:spacing w:after="40"/>
      </w:pPr>
    </w:p>
    <w:p>
      <w:pPr/>
      <w:r>
        <w:t>R09 甲状腺疾病指南与声明目录</w:t>
      </w:r>
    </w:p>
    <w:p>
      <w:pPr/>
      <w:r>
        <w:t>版本：ATA；甲亢2016、甲减2014、结节2015及后续肿瘤更新分别管理</w:t>
      </w:r>
    </w:p>
    <w:p>
      <w:pPr/>
      <w:r>
        <w:t>核验范围：学会目录核验；甲亢中国2022原指南另见R20，甲减及结节国内现行全文和妊娠专门版本仍待核验；不同病种不能混用版本</w:t>
      </w:r>
    </w:p>
    <w:p>
      <w:pPr/>
      <w:r>
        <w:t>来源：https://www.thyroid.org/professionals/ata-professional-guidelines/</w:t>
      </w:r>
    </w:p>
    <w:p>
      <w:pPr/>
      <w:r>
        <w:t>核验日期：2026-10-26</w:t>
      </w:r>
    </w:p>
    <w:p>
      <w:pPr>
        <w:spacing w:after="40"/>
      </w:pPr>
    </w:p>
    <w:p>
      <w:pPr/>
      <w:r>
        <w:t>R10 Hormone Replacement in Hypopituitarism</w:t>
      </w:r>
    </w:p>
    <w:p>
      <w:pPr/>
      <w:r>
        <w:t>版本：Endocrine Society，2016</w:t>
      </w:r>
    </w:p>
    <w:p>
      <w:pPr/>
      <w:r>
        <w:t>核验范围：原始学会建议节选可见；中枢性甲减需联合FT4和垂体背景，不仅看TSH</w:t>
      </w:r>
    </w:p>
    <w:p>
      <w:pPr/>
      <w:r>
        <w:t>来源：https://www.endocrine.org/clinical-practice-guidelines/hormone-replacement-in-hypopituitarism</w:t>
      </w:r>
    </w:p>
    <w:p>
      <w:pPr/>
      <w:r>
        <w:t>核验日期：2026-10-26</w:t>
      </w:r>
    </w:p>
    <w:p>
      <w:pPr>
        <w:spacing w:after="40"/>
      </w:pPr>
    </w:p>
    <w:p>
      <w:pPr/>
      <w:r>
        <w:t>R12 Primary Aldosteronism Clinical Practice Guideline</w:t>
      </w:r>
    </w:p>
    <w:p>
      <w:pPr/>
      <w:r>
        <w:t>版本：Endocrine Society，2025；JCEM 110 2453–2495；DOI 10.1210/clinem/dgaf284</w:t>
      </w:r>
    </w:p>
    <w:p>
      <w:pPr/>
      <w:r>
        <w:t>核验范围：原始期刊题录及2025版本核验；筛查确证豁免、ARR阈值与药物停换条款待核，不按旧版硬编码</w:t>
      </w:r>
    </w:p>
    <w:p>
      <w:pPr/>
      <w:r>
        <w:t>来源：https://academic.oup.com/jcem/article/110/9/2453/8196671</w:t>
      </w:r>
    </w:p>
    <w:p>
      <w:pPr/>
      <w:r>
        <w:t>核验日期：2026-10-26</w:t>
      </w:r>
    </w:p>
    <w:p>
      <w:pPr>
        <w:spacing w:after="40"/>
      </w:pPr>
    </w:p>
    <w:p>
      <w:pPr/>
      <w:r>
        <w:t>R14 Revised Treatment of Chronic Hypoparathyroidism in Adults</w:t>
      </w:r>
    </w:p>
    <w:p>
      <w:pPr/>
      <w:r>
        <w:t>版本：ESE，2025；DOI 10.1093/ejendo/lvaf222</w:t>
      </w:r>
    </w:p>
    <w:p>
      <w:pPr/>
      <w:r>
        <w:t>核验范围：学会2025修订版发布及范围核验；治疗目标、PTH替代适应证与国内可及性待逐条核验</w:t>
      </w:r>
    </w:p>
    <w:p>
      <w:pPr/>
      <w:r>
        <w:t>来源：https://www.ese-hormones.org/publications/directory/revised-ese-clinical-guideline-treatment-of-chronic-hypoparathyroidism-in-adults/</w:t>
      </w:r>
    </w:p>
    <w:p>
      <w:pPr/>
      <w:r>
        <w:t>核验日期：2026-10-26</w:t>
      </w:r>
    </w:p>
    <w:p>
      <w:pPr>
        <w:spacing w:after="40"/>
      </w:pPr>
    </w:p>
    <w:p>
      <w:pPr/>
      <w:r>
        <w:t>R16 肥胖症诊疗指南 2024年版</w:t>
      </w:r>
    </w:p>
    <w:p>
      <w:pPr/>
      <w:r>
        <w:t>版本：国家卫生健康委，2024</w:t>
      </w:r>
    </w:p>
    <w:p>
      <w:pPr/>
      <w:r>
        <w:t>核验范围：官方PDF及诊断评估治疗范围核验；药物批准适应证与新增药品须查现行说明书</w:t>
      </w:r>
    </w:p>
    <w:p>
      <w:pPr/>
      <w:r>
        <w:t>来源：https://www.nhc.gov.cn/cms-search/downFiles/c171fa2416864a21b69278fd04a33f21.pdf</w:t>
      </w:r>
    </w:p>
    <w:p>
      <w:pPr/>
      <w:r>
        <w:t>核验日期：2026-10-26</w:t>
      </w:r>
    </w:p>
    <w:p>
      <w:pPr>
        <w:spacing w:after="40"/>
      </w:pPr>
    </w:p>
    <w:p>
      <w:pPr/>
      <w:r>
        <w:t>R18 International Evidence Based Guideline for PCOS</w:t>
      </w:r>
    </w:p>
    <w:p>
      <w:pPr/>
      <w:r>
        <w:t>版本：Monash及合作学会，2023</w:t>
      </w:r>
    </w:p>
    <w:p>
      <w:pPr/>
      <w:r>
        <w:t>核验范围：原始指南PDF题录与版本核验；成人与青少年标准、AMH适用条件及生殖治疗条款待核</w:t>
      </w:r>
    </w:p>
    <w:p>
      <w:pPr/>
      <w:r>
        <w:t>来源：https://www.monash.edu/__data/assets/pdf_file/0003/3379521/Evidence-Based-Guidelines-2023.pdf</w:t>
      </w:r>
    </w:p>
    <w:p>
      <w:pPr/>
      <w:r>
        <w:t>核验日期：2026-10-26</w:t>
      </w:r>
    </w:p>
    <w:sectPr w:rsidR="00FC693F" w:rsidRPr="0006063C" w:rsidSect="00034616">
      <w:headerReference w:type="default" r:id="rId9"/>
      <w:footerReference w:type="default" r:id="rId10"/>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模块 04  第 </w:t>
    </w:r>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内分泌科AI病历书写系统 V1.0  |  模块 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Hiragino Sans GB" w:hAnsi="Hiragino Sans GB"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Hiragino Sans GB" w:hAnsi="Hiragino Sans GB" w:eastAsia="Hiragino Sans GB"/>
      <w:b/>
      <w:color w:val="000000"/>
      <w:spacing w:val="5"/>
      <w:kern w:val="28"/>
      <w:sz w:val="4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60" w:line="252" w:lineRule="auto"/>
    </w:pPr>
    <w:rPr>
      <w:rFonts w:ascii="Hiragino Sans GB" w:hAnsi="Hiragino Sans GB" w:eastAsia="Hiragino Sans G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内分泌科检验激素影像及特殊检查结果分析模板库</dc:title>
  <dc:subject>内分泌科住院病历规则与模板</dc:subject>
  <dc:creator>病历模板库</dc:creator>
  <cp:keywords/>
  <dc:description>虚构病例用于规则级验收；临床使用须责任医师审核。</dc:description>
  <cp:lastModifiedBy/>
  <cp:revision>1</cp:revision>
  <dcterms:created xsi:type="dcterms:W3CDTF">2013-12-23T23:15:00Z</dcterms:created>
  <dcterms:modified xsi:type="dcterms:W3CDTF">2013-12-23T23:15:00Z</dcterms:modified>
  <cp:category/>
</cp:coreProperties>
</file>