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07 内分泌科治疗决策药物调整及医嘱表达规则库</w:t>
      </w:r>
    </w:p>
    <w:p>
      <w:pPr>
        <w:pStyle w:val="Subtitle"/>
      </w:pPr>
      <w:r>
        <w:t>内分泌科AI病历书写系统 V1.0</w:t>
      </w:r>
    </w:p>
    <w:p>
      <w:r>
        <w:t>文件编号 07</w:t>
        <w:br/>
        <w:t>版本 V1.0</w:t>
        <w:br/>
        <w:t>所属层级 第二级 通用功能层</w:t>
        <w:br/>
        <w:t>建设及来源核验日期 2026年10月26日</w:t>
        <w:br/>
        <w:t>适用对象 内分泌科责任医师与病案质控人员</w:t>
      </w:r>
    </w:p>
    <w:p>
      <w:r>
        <w:t>模块职责：内分泌科治疗决策药物调整及医嘱表达规则库。本文件提供规则、可填写模板及虚构案例，供医师审核后使用。模板中的待填字段不是患者事实；未完成来源核验与科室审核的条款不作为自动诊疗依据。</w:t>
      </w:r>
    </w:p>
    <w:p>
      <w:pPr>
        <w:pStyle w:val="Heading1"/>
      </w:pPr>
      <w:r>
        <w:t>适用场景与自动调用</w:t>
      </w:r>
    </w:p>
    <w:p>
      <w:r>
        <w:t>当00和11识别到内分泌科治疗决策药物调整及医嘱表达规则库对应任务时加载；涉及多问题按最小充分原则联合相关模块。通用流程为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pStyle w:val="Heading1"/>
      </w:pPr>
      <w:r>
        <w:t>目录</w:t>
      </w:r>
    </w:p>
    <w:p>
      <w:pPr/>
      <w:r>
        <w:t>治疗状态字典与药物台账</w:t>
      </w:r>
    </w:p>
    <w:p>
      <w:pPr/>
      <w:r>
        <w:t>治疗调整通用正文</w:t>
      </w:r>
    </w:p>
    <w:p>
      <w:pPr/>
      <w:r>
        <w:t>饮食及运动治疗</w:t>
      </w:r>
    </w:p>
    <w:p>
      <w:pPr/>
      <w:r>
        <w:t>口服降糖药</w:t>
      </w:r>
    </w:p>
    <w:p>
      <w:pPr/>
      <w:r>
        <w:t>非胰岛素注射降糖药</w:t>
      </w:r>
    </w:p>
    <w:p>
      <w:pPr/>
      <w:r>
        <w:t>基础胰岛素</w:t>
      </w:r>
    </w:p>
    <w:p>
      <w:pPr/>
      <w:r>
        <w:t>餐时胰岛素</w:t>
      </w:r>
    </w:p>
    <w:p>
      <w:pPr/>
      <w:r>
        <w:t>预混胰岛素</w:t>
      </w:r>
    </w:p>
    <w:p>
      <w:pPr/>
      <w:r>
        <w:t>胰岛素强化治疗</w:t>
      </w:r>
    </w:p>
    <w:p>
      <w:pPr/>
      <w:r>
        <w:t>胰岛素泵</w:t>
      </w:r>
    </w:p>
    <w:p>
      <w:pPr/>
      <w:r>
        <w:t>胰岛素调整记录</w:t>
      </w:r>
    </w:p>
    <w:p>
      <w:pPr/>
      <w:r>
        <w:t>低血糖后的治疗评估</w:t>
      </w:r>
    </w:p>
    <w:p>
      <w:pPr/>
      <w:r>
        <w:t>肝肾功能异常时用药安全</w:t>
      </w:r>
    </w:p>
    <w:p>
      <w:pPr/>
      <w:r>
        <w:t>住院期间药物暂停与恢复</w:t>
      </w:r>
    </w:p>
    <w:p>
      <w:pPr/>
      <w:r>
        <w:t>出院降糖方案衔接</w:t>
      </w:r>
    </w:p>
    <w:p>
      <w:pPr/>
      <w:r>
        <w:t>抗甲状腺药物</w:t>
      </w:r>
    </w:p>
    <w:p>
      <w:pPr/>
      <w:r>
        <w:t>甲状腺激素替代</w:t>
      </w:r>
    </w:p>
    <w:p>
      <w:pPr/>
      <w:r>
        <w:t>糖皮质激素治疗及替代</w:t>
      </w:r>
    </w:p>
    <w:p>
      <w:pPr/>
      <w:r>
        <w:t>盐皮质激素替代</w:t>
      </w:r>
    </w:p>
    <w:p>
      <w:pPr/>
      <w:r>
        <w:t>垂体相关激素治疗</w:t>
      </w:r>
    </w:p>
    <w:p>
      <w:pPr/>
      <w:r>
        <w:t>性激素治疗相关协作</w:t>
      </w:r>
    </w:p>
    <w:p>
      <w:pPr/>
      <w:r>
        <w:t>甲状旁腺及骨代谢药物</w:t>
      </w:r>
    </w:p>
    <w:p>
      <w:pPr/>
      <w:r>
        <w:t>肥胖症相关药物治疗</w:t>
      </w:r>
    </w:p>
    <w:p>
      <w:pPr/>
      <w:r>
        <w:t>血脂及尿酸管理</w:t>
      </w:r>
    </w:p>
    <w:p>
      <w:pPr/>
      <w:r>
        <w:t>其他内分泌专科治疗</w:t>
      </w:r>
    </w:p>
    <w:p>
      <w:pPr/>
      <w:r>
        <w:t>虚构胰岛素调整状态示例</w:t>
      </w:r>
    </w:p>
    <w:p>
      <w:pPr/>
      <w:r>
        <w:t>事实边界与禁止事项</w:t>
      </w:r>
    </w:p>
    <w:p>
      <w:pPr/>
      <w:r>
        <w:t>常见错误与质量清单</w:t>
      </w:r>
    </w:p>
    <w:p>
      <w:pPr/>
      <w:r>
        <w:t>模块协同与更新</w:t>
      </w:r>
    </w:p>
    <w:p>
      <w:pPr/>
      <w:r>
        <w:t>参考指南与版本核验</w:t>
      </w:r>
    </w:p>
    <w:p>
      <w:r>
        <w:t>上述为完整主题目录，可通过Word或WPS导航窗格定位。下列域可在支持的编辑器中更新页码。</w:t>
      </w:r>
    </w:p>
    <w:p>
      <w:r/>
      <w:fldSimple w:instr="TOC \o &quot;1-2&quot; \h \z \u"/>
    </w:p>
    <w:p>
      <w:r>
        <w:br w:type="page"/>
      </w:r>
    </w:p>
    <w:p>
      <w:pPr>
        <w:pStyle w:val="Heading1"/>
      </w:pPr>
      <w:r>
        <w:t>治疗状态字典与药物台账</w:t>
      </w:r>
    </w:p>
    <w:p>
      <w:pPr/>
      <w:r>
        <w:t>医学知识不是医嘱。状态：知识建议、拟定建议、责任医师确认计划、已下达未证实执行、已执行、暂停、停用、恢复、取消、状态未知。药物台账字段为名称、剂型、规格、单次剂量和单位、途径、频次与餐次时点、起始调整暂停恢复停用日期、决定来源、执行来源、反应和监测。不同胰岛素或不同药物不以简称混淆。</w:t>
      </w:r>
    </w:p>
    <w:p>
      <w:pPr>
        <w:pStyle w:val="Heading1"/>
      </w:pPr>
      <w:r>
        <w:t>治疗调整通用正文</w:t>
      </w:r>
    </w:p>
    <w:p>
      <w:pPr/>
      <w:r>
        <w:t>[记录日期时间] 治疗方案调整记录</w:t>
      </w:r>
    </w:p>
    <w:p>
      <w:pPr>
        <w:pStyle w:val="Code"/>
      </w:pPr>
      <w:r>
        <w:t>```text</w:t>
      </w:r>
    </w:p>
    <w:p>
      <w:pPr>
        <w:pStyle w:val="Code"/>
      </w:pPr>
      <w:r>
        <w:t>目前[核实后的原方案与执行状态]，近期[真实监测问题及影响因素]。责任医师已确认拟[真实新方案]，目前[已下达或已执行或尚待执行]；后续观察[具体安全与疗效指标]，复查后再评估。</w:t>
      </w:r>
    </w:p>
    <w:p>
      <w:pPr>
        <w:pStyle w:val="Code"/>
      </w:pPr>
      <w:r>
        <w:t>```</w:t>
      </w:r>
    </w:p>
    <w:p>
      <w:pPr>
        <w:pStyle w:val="Heading1"/>
      </w:pPr>
      <w:r>
        <w:t>饮食及运动治疗</w:t>
      </w:r>
    </w:p>
    <w:p>
      <w:pPr/>
      <w:r>
        <w:t>结合进食能力、营养风险、足病、心脏病和低糖预防，记录营养处方建议与实际摄入完成情况。</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口服降糖药</w:t>
      </w:r>
    </w:p>
    <w:p>
      <w:pPr/>
      <w:r>
        <w:t>核对具体通用名、剂型、肝肾功能、缺氧脱水和禁食背景；不同类别的低糖、酮症或容量风险分别评估。</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非胰岛素注射降糖药</w:t>
      </w:r>
    </w:p>
    <w:p>
      <w:pPr/>
      <w:r>
        <w:t>核对具体药物批准适应证、胃肠耐受、营养和围操作进食安排，不把药物类别等同具体方案。</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基础胰岛素</w:t>
      </w:r>
    </w:p>
    <w:p>
      <w:pPr/>
      <w:r>
        <w:t>区分具体长效或中效制剂和注射时点，审查空腹夜间血糖和禁食，不能混作餐时补偿。</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餐时胰岛素</w:t>
      </w:r>
    </w:p>
    <w:p>
      <w:pPr/>
      <w:r>
        <w:t>药物与餐次、实际进食和给药间隔对应；缺用餐事实不能自动增加。</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预混胰岛素</w:t>
      </w:r>
    </w:p>
    <w:p>
      <w:pPr/>
      <w:r>
        <w:t>核对混合比例、具体制剂和餐次，不能将同单位数直接替换为基础餐时组合。</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胰岛素强化治疗</w:t>
      </w:r>
    </w:p>
    <w:p>
      <w:pPr/>
      <w:r>
        <w:t>保留各制剂组成、每次剂量、监测及进食，不只写强化而缺方案。</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胰岛素泵</w:t>
      </w:r>
    </w:p>
    <w:p>
      <w:pPr/>
      <w:r>
        <w:t>实际基础率、时段、餐时参数、校正和输注故障逐项记录，不能从总量反推设置。</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胰岛素调整记录</w:t>
      </w:r>
    </w:p>
    <w:p>
      <w:pPr/>
      <w:r>
        <w:t>原方案→问题和证据→医师决定→新方案→下达及执行时间→效果复测；未执行仍为计划。</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低血糖后的治疗评估</w:t>
      </w:r>
    </w:p>
    <w:p>
      <w:pPr/>
      <w:r>
        <w:t>先确认事件与协助需求，再核饮食、用药、肾功能和复发；治疗去强化需实际医师意见。</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肝肾功能异常时用药安全</w:t>
      </w:r>
    </w:p>
    <w:p>
      <w:pPr/>
      <w:r>
        <w:t>依据实际肝肾指标、急性变化和现行说明书核适用范围，不能只凭肌酐单值推定剂量。</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住院期间药物暂停与恢复</w:t>
      </w:r>
    </w:p>
    <w:p>
      <w:pPr/>
      <w:r>
        <w:t>记录原因、决定和实际停用起点、恢复条件及执行；SGLT2等围操作管理依院内路径。</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出院降糖方案衔接</w:t>
      </w:r>
    </w:p>
    <w:p>
      <w:pPr/>
      <w:r>
        <w:t>核住院有效方案、出院确认方案和患者操作能力，写明旧药停续防重复。</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抗甲状腺药物</w:t>
      </w:r>
    </w:p>
    <w:p>
      <w:pPr/>
      <w:r>
        <w:t>核具体制剂、妊娠计划、血常规肝功能及不良反应；发热咽痛或黄疸等需及时临床评估。</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甲状腺激素替代</w:t>
      </w:r>
    </w:p>
    <w:p>
      <w:pPr/>
      <w:r>
        <w:t>区分原发中枢、冠心病及妊娠；启动或增加前评肾上腺安全，核与钙铁等相互影响。</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糖皮质激素治疗及替代</w:t>
      </w:r>
    </w:p>
    <w:p>
      <w:pPr/>
      <w:r>
        <w:t>区分抗炎免疫剂量和生理替代、制剂疗程与应激；不自填替代剂量或突然撤药。</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盐皮质激素替代</w:t>
      </w:r>
    </w:p>
    <w:p>
      <w:pPr/>
      <w:r>
        <w:t>仅适应证下由医师确认，监测血压体位、容量及钾钠；继发性不足不机械套用。</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垂体相关激素治疗</w:t>
      </w:r>
    </w:p>
    <w:p>
      <w:pPr/>
      <w:r>
        <w:t>逐轴记录药物及监测，注意替代顺序和可能揭示的水代谢异常。</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性激素治疗相关协作</w:t>
      </w:r>
    </w:p>
    <w:p>
      <w:pPr/>
      <w:r>
        <w:t>先明确生育诉求、妊娠可能和禁忌，与妇科男科儿科协作。</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甲状旁腺及骨代谢药物</w:t>
      </w:r>
    </w:p>
    <w:p>
      <w:pPr/>
      <w:r>
        <w:t>核钙磷维D肾功能、骨折风险与既往序列，抗骨吸收治疗的停药与衔接需专科计划。</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肥胖症相关药物治疗</w:t>
      </w:r>
    </w:p>
    <w:p>
      <w:pPr/>
      <w:r>
        <w:t>核BMI实测、共病、禁忌和国内批准范围，保留营养运动基础和疗效耐受复评。</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血脂及尿酸管理</w:t>
      </w:r>
    </w:p>
    <w:p>
      <w:pPr/>
      <w:r>
        <w:t>血脂风险层级与尿酸痛风状态分开，核肾功能、相互作用及实际目标。</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其他内分泌专科治疗</w:t>
      </w:r>
    </w:p>
    <w:p>
      <w:pPr/>
      <w:r>
        <w:t>确认适应证、专科权限、真实制剂和执行资料，无法核实不提供患者特异处方。</w:t>
      </w:r>
    </w:p>
    <w:p>
      <w:pPr/>
      <w:r>
        <w:t>记录模板：问题与证据：[实值及条件]；原方案及状态：[真实药物字段]；决策及依据：[实际意见]；新方案及状态：[已确认内容和起点]；反应：[真实监测]。禁止用常见剂量补槽、把指南推荐写为正在使用或把医嘱开具写为已给药。</w:t>
      </w:r>
    </w:p>
    <w:p>
      <w:pPr>
        <w:pStyle w:val="Heading1"/>
      </w:pPr>
      <w:r>
        <w:t>虚构胰岛素调整状态示例</w:t>
      </w:r>
    </w:p>
    <w:p>
      <w:pPr/>
      <w:r>
        <w:t>2026年10月26日 09:00 胰岛素方案调整病程</w:t>
      </w:r>
    </w:p>
    <w:p>
      <w:pPr>
        <w:pStyle w:val="Code"/>
      </w:pPr>
      <w:r>
        <w:t>```text</w:t>
      </w:r>
    </w:p>
    <w:p>
      <w:pPr>
        <w:pStyle w:val="Code"/>
      </w:pPr>
      <w:r>
        <w:t>患者当前医嘱为甘精胰岛素每晚12 U，近两日空腹指尖血糖分别为9.8、10.2 mmol/L。医师今日已确认拟调整为每晚14 U，尚无新剂量执行记录；当前按计划调整状态记录，不能判断调整后的降糖效果，需继续关注夜间及空腹血糖和低血糖风险。</w:t>
      </w:r>
    </w:p>
    <w:p>
      <w:pPr>
        <w:pStyle w:val="Code"/>
      </w:pPr>
      <w:r>
        <w:t>```</w:t>
      </w:r>
    </w:p>
    <w:p>
      <w:pPr/>
      <w:r>
        <w:t>SIM-07全部虚构；计划14 U未写成已用。</w:t>
      </w:r>
    </w:p>
    <w:p>
      <w:pPr>
        <w:pStyle w:val="Heading1"/>
      </w:pPr>
      <w:r>
        <w:t>事实边界与禁止事项</w:t>
      </w:r>
    </w:p>
    <w:p>
      <w:pPr/>
      <w:r>
        <w:t>逐项区分原始事实、临床解释、拟定建议、医师确认计划、已执行诊疗与未知状态。缺少记录不等于正常、否认或未实施；未提供数据不补造阴性体征、筛查结论、激素时点、药量、会诊意见或疗效。患者以姓名和住院号等两项可靠标识核对，床号不得作为唯一标识；每次住院单独隔离。身份冲突冻结引用，日期冲突保留来源并核实；后回报结果不得倒写为当时已知。禁止把筛查升格为确诊、影像等同功能、建议当执行、不同方法直接比较。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常见错误与质量清单</w:t>
      </w:r>
    </w:p>
    <w:p>
      <w:pPr/>
      <w:r>
        <w:t>输出前逐项检查身份和住院事件、记录与事件时点、数值单位和参考范围、激素节律体位和用药、诊断确定度、医嘱状态、真实医师意见、待回结果和复诊责任。任何关键冲突阻断相关结论；一般缺失在正文外列补充项，不能补写“正常”。</w:t>
      </w:r>
    </w:p>
    <w:p>
      <w:pPr>
        <w:pStyle w:val="Heading1"/>
      </w:pPr>
      <w:r>
        <w:t>模块协同与更新</w:t>
      </w:r>
    </w:p>
    <w:p>
      <w:pPr/>
      <w:r>
        <w:t>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r>
        <w:t>本库为可供AI读取的规则与Word模板，未部署电子病历接口、自动医嘱、患者数据库或跨会话记忆。科室负责人、相关亚专科与病案质控共同审校后进行院内试用；至少季度及重要指南、药品说明书、院内制度变化时复核。更新记录版本、来源、适用人群、阈值和影响模块，重跑10内相关病例。未核到全文或条款者标记待核验，不输出为已核验阈值。</w:t>
      </w:r>
    </w:p>
    <w:p>
      <w:pPr>
        <w:pStyle w:val="Heading1"/>
      </w:pPr>
      <w:r>
        <w:t>参考指南与版本核验</w:t>
      </w:r>
    </w:p>
    <w:p>
      <w:pPr/>
      <w:r>
        <w:t>R01 病历书写基本规范</w:t>
      </w:r>
    </w:p>
    <w:p>
      <w:pPr/>
      <w:r>
        <w:t>版本：原卫生部，2010，卫医政发〔2010〕11号</w:t>
      </w:r>
    </w:p>
    <w:p>
      <w:pPr/>
      <w:r>
        <w:t>核验范围：官方正文检索可见；用于真实性、栏目与记录要求</w:t>
      </w:r>
    </w:p>
    <w:p>
      <w:pPr/>
      <w:r>
        <w:t>来源：https://www.nhc.gov.cn/bgt/s10696/201002/8cd7d4d70f4b42da839d2428dcbf723c.shtml</w:t>
      </w:r>
    </w:p>
    <w:p>
      <w:pPr/>
      <w:r>
        <w:t>核验日期：2026-10-26</w:t>
      </w:r>
    </w:p>
    <w:p>
      <w:pPr>
        <w:spacing w:after="40"/>
      </w:pPr>
    </w:p>
    <w:p>
      <w:pPr/>
      <w:r>
        <w:t>R02 医疗质量安全核心制度要点</w:t>
      </w:r>
    </w:p>
    <w:p>
      <w:pPr/>
      <w:r>
        <w:t>版本：国家卫生健康委，2018</w:t>
      </w:r>
    </w:p>
    <w:p>
      <w:pPr/>
      <w:r>
        <w:t>核验范围：官方通知与制度适用范围检索可见；院内具体时限仍需核对</w:t>
      </w:r>
    </w:p>
    <w:p>
      <w:pPr/>
      <w:r>
        <w:t>来源：https://www.nhc.gov.cn/yzygj/c100068/201804/42ab2552298047679cd6ec733f233862.shtml</w:t>
      </w:r>
    </w:p>
    <w:p>
      <w:pPr/>
      <w:r>
        <w:t>核验日期：2026-10-26</w:t>
      </w:r>
    </w:p>
    <w:p>
      <w:pPr>
        <w:spacing w:after="40"/>
      </w:pPr>
    </w:p>
    <w:p>
      <w:pPr/>
      <w:r>
        <w:t>R03 电子病历应用管理规范 试行</w:t>
      </w:r>
    </w:p>
    <w:p>
      <w:pPr/>
      <w:r>
        <w:t>版本：原国家卫生计生委、国家中医药管理局，2017</w:t>
      </w:r>
    </w:p>
    <w:p>
      <w:pPr/>
      <w:r>
        <w:t>核验范围：官方正文检索可见；权限、修改留痕与医师签名</w:t>
      </w:r>
    </w:p>
    <w:p>
      <w:pPr/>
      <w:r>
        <w:t>来源：https://www.nhc.gov.cn/wjw/c100175/201702/90f3de8ae03d488cbddf509dc958f75b.shtml</w:t>
      </w:r>
    </w:p>
    <w:p>
      <w:pPr/>
      <w:r>
        <w:t>核验日期：2026-10-26</w:t>
      </w:r>
    </w:p>
    <w:p>
      <w:pPr>
        <w:spacing w:after="40"/>
      </w:pPr>
    </w:p>
    <w:p>
      <w:pPr/>
      <w:r>
        <w:t>R04 中国糖尿病防治指南 2024版</w:t>
      </w:r>
    </w:p>
    <w:p>
      <w:pPr/>
      <w:r>
        <w:t>版本：中华医学会糖尿病学分会，2025；DOI 10.3760/cma.j.cn115791-20241203-00705</w:t>
      </w:r>
    </w:p>
    <w:p>
      <w:pPr/>
      <w:r>
        <w:t>核验范围：学会发布、题名及版本已核；全量推荐逐条核验未完成，国内优先来源</w:t>
      </w:r>
    </w:p>
    <w:p>
      <w:pPr/>
      <w:r>
        <w:t>来源：https://diab.cma.org.cn/cn/ncontent.aspx?oid=3042</w:t>
      </w:r>
    </w:p>
    <w:p>
      <w:pPr/>
      <w:r>
        <w:t>核验日期：2026-10-26</w:t>
      </w:r>
    </w:p>
    <w:p>
      <w:pPr>
        <w:spacing w:after="40"/>
      </w:pPr>
    </w:p>
    <w:p>
      <w:pPr/>
      <w:r>
        <w:t>R06 Glycemic Goals Hypoglycemia and Hyperglycemic Crises Standards of Care 2026</w:t>
      </w:r>
    </w:p>
    <w:p>
      <w:pPr/>
      <w:r>
        <w:t>版本：ADA，2026；DOI 10.2337/dc26-s006</w:t>
      </w:r>
    </w:p>
    <w:p>
      <w:pPr/>
      <w:r>
        <w:t>核验范围：原始期刊页面低血糖分级、CGM指标及个体化目标可见；不能套用妊娠或儿童</w:t>
      </w:r>
    </w:p>
    <w:p>
      <w:pPr/>
      <w:r>
        <w:t>来源：https://doi.org/10.2337/dc26-s006</w:t>
      </w:r>
    </w:p>
    <w:p>
      <w:pPr/>
      <w:r>
        <w:t>核验日期：2026-10-26</w:t>
      </w:r>
    </w:p>
    <w:p>
      <w:pPr>
        <w:spacing w:after="40"/>
      </w:pPr>
    </w:p>
    <w:p>
      <w:pPr/>
      <w:r>
        <w:t>R09 甲状腺疾病指南与声明目录</w:t>
      </w:r>
    </w:p>
    <w:p>
      <w:pPr/>
      <w:r>
        <w:t>版本：ATA；甲亢2016、甲减2014、结节2015及后续肿瘤更新分别管理</w:t>
      </w:r>
    </w:p>
    <w:p>
      <w:pPr/>
      <w:r>
        <w:t>核验范围：学会目录核验；甲亢中国2022原指南另见R20，甲减及结节国内现行全文和妊娠专门版本仍待核验；不同病种不能混用版本</w:t>
      </w:r>
    </w:p>
    <w:p>
      <w:pPr/>
      <w:r>
        <w:t>来源：https://www.thyroid.org/professionals/ata-professional-guidelines/</w:t>
      </w:r>
    </w:p>
    <w:p>
      <w:pPr/>
      <w:r>
        <w:t>核验日期：2026-10-26</w:t>
      </w:r>
    </w:p>
    <w:p>
      <w:pPr>
        <w:spacing w:after="40"/>
      </w:pPr>
    </w:p>
    <w:p>
      <w:pPr/>
      <w:r>
        <w:t>R10 Hormone Replacement in Hypopituitarism</w:t>
      </w:r>
    </w:p>
    <w:p>
      <w:pPr/>
      <w:r>
        <w:t>版本：Endocrine Society，2016</w:t>
      </w:r>
    </w:p>
    <w:p>
      <w:pPr/>
      <w:r>
        <w:t>核验范围：原始学会建议节选可见；中枢性甲减需联合FT4和垂体背景，不仅看TSH</w:t>
      </w:r>
    </w:p>
    <w:p>
      <w:pPr/>
      <w:r>
        <w:t>来源：https://www.endocrine.org/clinical-practice-guidelines/hormone-replacement-in-hypopituitarism</w:t>
      </w:r>
    </w:p>
    <w:p>
      <w:pPr/>
      <w:r>
        <w:t>核验日期：2026-10-26</w:t>
      </w:r>
    </w:p>
    <w:p>
      <w:pPr>
        <w:spacing w:after="40"/>
      </w:pPr>
    </w:p>
    <w:p>
      <w:pPr/>
      <w:r>
        <w:t>R14 Revised Treatment of Chronic Hypoparathyroidism in Adults</w:t>
      </w:r>
    </w:p>
    <w:p>
      <w:pPr/>
      <w:r>
        <w:t>版本：ESE，2025；DOI 10.1093/ejendo/lvaf222</w:t>
      </w:r>
    </w:p>
    <w:p>
      <w:pPr/>
      <w:r>
        <w:t>核验范围：学会2025修订版发布及范围核验；治疗目标、PTH替代适应证与国内可及性待逐条核验</w:t>
      </w:r>
    </w:p>
    <w:p>
      <w:pPr/>
      <w:r>
        <w:t>来源：https://www.ese-hormones.org/publications/directory/revised-ese-clinical-guideline-treatment-of-chronic-hypoparathyroidism-in-adults/</w:t>
      </w:r>
    </w:p>
    <w:p>
      <w:pPr/>
      <w:r>
        <w:t>核验日期：2026-10-26</w:t>
      </w:r>
    </w:p>
    <w:p>
      <w:pPr>
        <w:spacing w:after="40"/>
      </w:pPr>
    </w:p>
    <w:p>
      <w:pPr/>
      <w:r>
        <w:t>R16 肥胖症诊疗指南 2024年版</w:t>
      </w:r>
    </w:p>
    <w:p>
      <w:pPr/>
      <w:r>
        <w:t>版本：国家卫生健康委，2024</w:t>
      </w:r>
    </w:p>
    <w:p>
      <w:pPr/>
      <w:r>
        <w:t>核验范围：官方PDF及诊断评估治疗范围核验；药物批准适应证与新增药品须查现行说明书</w:t>
      </w:r>
    </w:p>
    <w:p>
      <w:pPr/>
      <w:r>
        <w:t>来源：https://www.nhc.gov.cn/cms-search/downFiles/c171fa2416864a21b69278fd04a33f21.pdf</w:t>
      </w:r>
    </w:p>
    <w:p>
      <w:pPr/>
      <w:r>
        <w:t>核验日期：2026-10-26</w:t>
      </w:r>
    </w:p>
    <w:sectPr w:rsidR="00FC693F" w:rsidRPr="0006063C" w:rsidSect="00034616">
      <w:headerReference w:type="default" r:id="rId9"/>
      <w:footerReference w:type="default" r:id="rId10"/>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模块 07  第 </w:t>
    </w:r>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内分泌科AI病历书写系统 V1.0  |  模块 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Hiragino Sans GB" w:hAnsi="Hiragino Sans GB"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Hiragino Sans GB" w:hAnsi="Hiragino Sans GB" w:eastAsia="Hiragino Sans GB"/>
      <w:b/>
      <w:color w:val="000000"/>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60" w:line="252" w:lineRule="auto"/>
    </w:pPr>
    <w:rPr>
      <w:rFonts w:ascii="Hiragino Sans GB" w:hAnsi="Hiragino Sans GB" w:eastAsia="Hiragino Sans G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内分泌科治疗决策药物调整及医嘱表达规则库</dc:title>
  <dc:subject>内分泌科住院病历规则与模板</dc:subject>
  <dc:creator>病历模板库</dc:creator>
  <cp:keywords/>
  <dc:description>虚构病例用于规则级验收；临床使用须责任医师审核。</dc:description>
  <cp:lastModifiedBy/>
  <cp:revision>1</cp:revision>
  <dcterms:created xsi:type="dcterms:W3CDTF">2013-12-23T23:15:00Z</dcterms:created>
  <dcterms:modified xsi:type="dcterms:W3CDTF">2013-12-23T23:15:00Z</dcterms:modified>
  <cp:category/>
</cp:coreProperties>
</file>