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08 内分泌科三级医师查房决策与层级表达模板库</w:t>
      </w:r>
    </w:p>
    <w:p>
      <w:pPr>
        <w:pStyle w:val="Subtitle"/>
      </w:pPr>
      <w:r>
        <w:t>内分泌科AI病历书写系统 V1.0</w:t>
      </w:r>
    </w:p>
    <w:p>
      <w:r>
        <w:t>文件编号 08</w:t>
        <w:br/>
        <w:t>版本 V1.0</w:t>
        <w:br/>
        <w:t>所属层级 第二级 通用功能层</w:t>
        <w:br/>
        <w:t>建设及来源核验日期 2026年10月26日</w:t>
        <w:br/>
        <w:t>适用对象 内分泌科责任医师与病案质控人员</w:t>
      </w:r>
    </w:p>
    <w:p>
      <w:r>
        <w:t>模块职责：内分泌科三级医师查房决策与层级表达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内分泌科三级医师查房决策与层级表达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查房事实与三层分析深度</w:t>
      </w:r>
    </w:p>
    <w:p>
      <w:pPr/>
      <w:r>
        <w:t>统一代码框规范</w:t>
      </w:r>
    </w:p>
    <w:p>
      <w:pPr/>
      <w:r>
        <w:t>糖尿病首次查房</w:t>
      </w:r>
    </w:p>
    <w:p>
      <w:pPr/>
      <w:r>
        <w:t>血糖控制不佳查房</w:t>
      </w:r>
    </w:p>
    <w:p>
      <w:pPr/>
      <w:r>
        <w:t>低血糖查房</w:t>
      </w:r>
    </w:p>
    <w:p>
      <w:pPr/>
      <w:r>
        <w:t>胰岛素方案调整查房</w:t>
      </w:r>
    </w:p>
    <w:p>
      <w:pPr/>
      <w:r>
        <w:t>糖尿病并发症查房</w:t>
      </w:r>
    </w:p>
    <w:p>
      <w:pPr/>
      <w:r>
        <w:t>酮症酸中毒恢复期查房</w:t>
      </w:r>
    </w:p>
    <w:p>
      <w:pPr/>
      <w:r>
        <w:t>甲亢及甲减查房</w:t>
      </w:r>
    </w:p>
    <w:p>
      <w:pPr/>
      <w:r>
        <w:t>甲状腺结节查房</w:t>
      </w:r>
    </w:p>
    <w:p>
      <w:pPr/>
      <w:r>
        <w:t>垂体疾病查房</w:t>
      </w:r>
    </w:p>
    <w:p>
      <w:pPr/>
      <w:r>
        <w:t>肾上腺疾病查房</w:t>
      </w:r>
    </w:p>
    <w:p>
      <w:pPr/>
      <w:r>
        <w:t>内分泌性高血压查房</w:t>
      </w:r>
    </w:p>
    <w:p>
      <w:pPr/>
      <w:r>
        <w:t>甲状旁腺疾病查房</w:t>
      </w:r>
    </w:p>
    <w:p>
      <w:pPr/>
      <w:r>
        <w:t>骨质疏松及钙磷异常查房</w:t>
      </w:r>
    </w:p>
    <w:p>
      <w:pPr/>
      <w:r>
        <w:t>肥胖及代谢综合征查房</w:t>
      </w:r>
    </w:p>
    <w:p>
      <w:pPr/>
      <w:r>
        <w:t>内分泌功能试验结果回报查房</w:t>
      </w:r>
    </w:p>
    <w:p>
      <w:pPr/>
      <w:r>
        <w:t>内分泌危重症查房</w:t>
      </w:r>
    </w:p>
    <w:p>
      <w:pPr/>
      <w:r>
        <w:t>诊断修正查房</w:t>
      </w:r>
    </w:p>
    <w:p>
      <w:pPr/>
      <w:r>
        <w:t>出院前查房</w:t>
      </w:r>
    </w:p>
    <w:p>
      <w:pPr/>
      <w:r>
        <w:t>虚构三级差异化示例</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查房事实与三层分析深度</w:t>
      </w:r>
    </w:p>
    <w:p>
      <w:pPr/>
      <w:r>
        <w:t>主治医师负责当前症状、查体及结果、诊断依据、治疗执行和近期观察；副主任医师增加病因、分型、试验解释、治疗优化和复杂共病风险；主任医师复核疑难诊断、轴功能和重大决策，明确个体目标、风险获益及长期管理。不同层级不能只改姓名职称；深度依真实问题增加，不能伪造未发生的意见。若仅请求草拟，框外注明待责任医师确认，正文避免宣称真实查房和发言。</w:t>
      </w:r>
    </w:p>
    <w:p>
      <w:pPr>
        <w:pStyle w:val="Heading1"/>
      </w:pPr>
      <w:r>
        <w:t>统一代码框规范</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糖尿病首次查房</w:t>
      </w:r>
    </w:p>
    <w:p>
      <w:pPr/>
      <w:r>
        <w:t>适用：分型、代谢安全及并发症筛查状态。必需：当日症状与实查、可用数据、真实医师层级姓名及意见、已执行与拟调整内容。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今日随[真实主治医师]查房，患者[当日症状和实查]，检查[真实结果]。围绕分型、代谢安全及并发症筛查状态核对当前依据与治疗执行，[真实主治意见]；近期观察[具体指标]。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今日随[真实副主任医师]查房，患者[当日状态]，现有[关键证据]。就分型、代谢安全及并发症筛查状态分析病因、分型和证据限制，兼顾[实际共病风险]，[真实副主任意见与优化计划]；继续观察[指标]。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分型、代谢安全及并发症筛查状态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血糖控制不佳查房</w:t>
      </w:r>
    </w:p>
    <w:p>
      <w:pPr/>
      <w:r>
        <w:t>适用：餐次与夜间模式、进食和注射依从性、诱因。必需：当日症状与实查、可用数据、真实医师层级姓名及意见、已执行与拟调整内容。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今日随[真实主治医师]查房，患者[当日症状和实查]，检查[真实结果]。围绕餐次与夜间模式、进食和注射依从性、诱因核对当前依据与治疗执行，[真实主治意见]；近期观察[具体指标]。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今日随[真实副主任医师]查房，患者[当日状态]，现有[关键证据]。就餐次与夜间模式、进食和注射依从性、诱因分析病因、分型和证据限制，兼顾[实际共病风险]，[真实副主任意见与优化计划]；继续观察[指标]。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餐次与夜间模式、进食和注射依从性、诱因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低血糖查房</w:t>
      </w:r>
    </w:p>
    <w:p>
      <w:pPr/>
      <w:r>
        <w:t>适用：低糖事件严重度、复发及治疗去强化依据。必需：当日症状与实查、可用数据、真实医师层级姓名及意见、已执行与拟调整内容。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今日随[真实主治医师]查房，患者[当日症状和实查]，检查[真实结果]。围绕低糖事件严重度、复发及治疗去强化依据核对当前依据与治疗执行，[真实主治意见]；近期观察[具体指标]。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今日随[真实副主任医师]查房，患者[当日状态]，现有[关键证据]。就低糖事件严重度、复发及治疗去强化依据分析病因、分型和证据限制，兼顾[实际共病风险]，[真实副主任意见与优化计划]；继续观察[指标]。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低糖事件严重度、复发及治疗去强化依据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胰岛素方案调整查房</w:t>
      </w:r>
    </w:p>
    <w:p>
      <w:pPr/>
      <w:r>
        <w:t>适用：调整前后制剂剂量和实际执行、低糖监测。必需：当日症状与实查、可用数据、真实医师层级姓名及意见、已执行与拟调整内容。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今日随[真实主治医师]查房，患者[当日症状和实查]，检查[真实结果]。围绕调整前后制剂剂量和实际执行、低糖监测核对当前依据与治疗执行，[真实主治意见]；近期观察[具体指标]。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今日随[真实副主任医师]查房，患者[当日状态]，现有[关键证据]。就调整前后制剂剂量和实际执行、低糖监测分析病因、分型和证据限制，兼顾[实际共病风险]，[真实副主任意见与优化计划]；继续观察[指标]。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调整前后制剂剂量和实际执行、低糖监测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糖尿病并发症查房</w:t>
      </w:r>
    </w:p>
    <w:p>
      <w:pPr/>
      <w:r>
        <w:t>适用：各并发症证据、病因及心肾足眼优先顺序。必需：当日症状与实查、可用数据、真实医师层级姓名及意见、已执行与拟调整内容。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今日随[真实主治医师]查房，患者[当日症状和实查]，检查[真实结果]。围绕各并发症证据、病因及心肾足眼优先顺序核对当前依据与治疗执行，[真实主治意见]；近期观察[具体指标]。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今日随[真实副主任医师]查房，患者[当日状态]，现有[关键证据]。就各并发症证据、病因及心肾足眼优先顺序分析病因、分型和证据限制，兼顾[实际共病风险]，[真实副主任意见与优化计划]；继续观察[指标]。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各并发症证据、病因及心肾足眼优先顺序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酮症酸中毒恢复期查房</w:t>
      </w:r>
    </w:p>
    <w:p>
      <w:pPr/>
      <w:r>
        <w:t>适用：酮体酸碱恢复、营养过渡和诱因防复发。必需：当日症状与实查、可用数据、真实医师层级姓名及意见、已执行与拟调整内容。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今日随[真实主治医师]查房，患者[当日症状和实查]，检查[真实结果]。围绕酮体酸碱恢复、营养过渡和诱因防复发核对当前依据与治疗执行，[真实主治意见]；近期观察[具体指标]。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今日随[真实副主任医师]查房，患者[当日状态]，现有[关键证据]。就酮体酸碱恢复、营养过渡和诱因防复发分析病因、分型和证据限制，兼顾[实际共病风险]，[真实副主任意见与优化计划]；继续观察[指标]。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酮体酸碱恢复、营养过渡和诱因防复发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甲亢及甲减查房</w:t>
      </w:r>
    </w:p>
    <w:p>
      <w:pPr/>
      <w:r>
        <w:t>适用：功能表型、病因及药物安全。必需：当日症状与实查、可用数据、真实医师层级姓名及意见、已执行与拟调整内容。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今日随[真实主治医师]查房，患者[当日症状和实查]，检查[真实结果]。围绕功能表型、病因及药物安全核对当前依据与治疗执行，[真实主治意见]；近期观察[具体指标]。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今日随[真实副主任医师]查房，患者[当日状态]，现有[关键证据]。就功能表型、病因及药物安全分析病因、分型和证据限制，兼顾[实际共病风险]，[真实副主任意见与优化计划]；继续观察[指标]。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功能表型、病因及药物安全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甲状腺结节查房</w:t>
      </w:r>
    </w:p>
    <w:p>
      <w:pPr/>
      <w:r>
        <w:t>适用：超声与病理区别、功能及压迫风险。必需：当日症状与实查、可用数据、真实医师层级姓名及意见、已执行与拟调整内容。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今日随[真实主治医师]查房，患者[当日症状和实查]，检查[真实结果]。围绕超声与病理区别、功能及压迫风险核对当前依据与治疗执行，[真实主治意见]；近期观察[具体指标]。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今日随[真实副主任医师]查房，患者[当日状态]，现有[关键证据]。就超声与病理区别、功能及压迫风险分析病因、分型和证据限制，兼顾[实际共病风险]，[真实副主任意见与优化计划]；继续观察[指标]。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超声与病理区别、功能及压迫风险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垂体疾病查房</w:t>
      </w:r>
    </w:p>
    <w:p>
      <w:pPr/>
      <w:r>
        <w:t>适用：占位、多轴功能、视野和替代次序。必需：当日症状与实查、可用数据、真实医师层级姓名及意见、已执行与拟调整内容。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今日随[真实主治医师]查房，患者[当日症状和实查]，检查[真实结果]。围绕占位、多轴功能、视野和替代次序核对当前依据与治疗执行，[真实主治意见]；近期观察[具体指标]。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今日随[真实副主任医师]查房，患者[当日状态]，现有[关键证据]。就占位、多轴功能、视野和替代次序分析病因、分型和证据限制，兼顾[实际共病风险]，[真实副主任意见与优化计划]；继续观察[指标]。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占位、多轴功能、视野和替代次序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肾上腺疾病查房</w:t>
      </w:r>
    </w:p>
    <w:p>
      <w:pPr/>
      <w:r>
        <w:t>适用：生化功能、采样条件与影像风险分别复核。必需：当日症状与实查、可用数据、真实医师层级姓名及意见、已执行与拟调整内容。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今日随[真实主治医师]查房，患者[当日症状和实查]，检查[真实结果]。围绕生化功能、采样条件与影像风险分别复核核对当前依据与治疗执行，[真实主治意见]；近期观察[具体指标]。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今日随[真实副主任医师]查房，患者[当日状态]，现有[关键证据]。就生化功能、采样条件与影像风险分别复核分析病因、分型和证据限制，兼顾[实际共病风险]，[真实副主任意见与优化计划]；继续观察[指标]。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生化功能、采样条件与影像风险分别复核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内分泌性高血压查房</w:t>
      </w:r>
    </w:p>
    <w:p>
      <w:pPr/>
      <w:r>
        <w:t>适用：体位钾盐药物、筛查确认和分型定位。必需：当日症状与实查、可用数据、真实医师层级姓名及意见、已执行与拟调整内容。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今日随[真实主治医师]查房，患者[当日症状和实查]，检查[真实结果]。围绕体位钾盐药物、筛查确认和分型定位核对当前依据与治疗执行，[真实主治意见]；近期观察[具体指标]。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今日随[真实副主任医师]查房，患者[当日状态]，现有[关键证据]。就体位钾盐药物、筛查确认和分型定位分析病因、分型和证据限制，兼顾[实际共病风险]，[真实副主任意见与优化计划]；继续观察[指标]。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体位钾盐药物、筛查确认和分型定位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甲状旁腺疾病查房</w:t>
      </w:r>
    </w:p>
    <w:p>
      <w:pPr/>
      <w:r>
        <w:t>适用：钙PTH同背景、继发原因及靶器官。必需：当日症状与实查、可用数据、真实医师层级姓名及意见、已执行与拟调整内容。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今日随[真实主治医师]查房，患者[当日症状和实查]，检查[真实结果]。围绕钙PTH同背景、继发原因及靶器官核对当前依据与治疗执行，[真实主治意见]；近期观察[具体指标]。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今日随[真实副主任医师]查房，患者[当日状态]，现有[关键证据]。就钙PTH同背景、继发原因及靶器官分析病因、分型和证据限制，兼顾[实际共病风险]，[真实副主任意见与优化计划]；继续观察[指标]。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钙PTH同背景、继发原因及靶器官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骨质疏松及钙磷异常查房</w:t>
      </w:r>
    </w:p>
    <w:p>
      <w:pPr/>
      <w:r>
        <w:t>适用：钙磷镁维D、骨折依据和药物序列。必需：当日症状与实查、可用数据、真实医师层级姓名及意见、已执行与拟调整内容。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今日随[真实主治医师]查房，患者[当日症状和实查]，检查[真实结果]。围绕钙磷镁维D、骨折依据和药物序列核对当前依据与治疗执行，[真实主治意见]；近期观察[具体指标]。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今日随[真实副主任医师]查房，患者[当日状态]，现有[关键证据]。就钙磷镁维D、骨折依据和药物序列分析病因、分型和证据限制，兼顾[实际共病风险]，[真实副主任意见与优化计划]；继续观察[指标]。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钙磷镁维D、骨折依据和药物序列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肥胖及代谢综合征查房</w:t>
      </w:r>
    </w:p>
    <w:p>
      <w:pPr/>
      <w:r>
        <w:t>适用：继发病因、营养肌少、心血管风险及可行目标。必需：当日症状与实查、可用数据、真实医师层级姓名及意见、已执行与拟调整内容。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今日随[真实主治医师]查房，患者[当日症状和实查]，检查[真实结果]。围绕继发病因、营养肌少、心血管风险及可行目标核对当前依据与治疗执行，[真实主治意见]；近期观察[具体指标]。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继发病因、营养肌少、心血管风险及可行目标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继发病因、营养肌少、心血管风险及可行目标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内分泌功能试验结果回报查房</w:t>
      </w:r>
    </w:p>
    <w:p>
      <w:pPr/>
      <w:r>
        <w:t>适用：真实过程、采样条件、方法标准及结果限制。必需：当日症状与实查、可用数据、真实医师层级姓名及意见、已执行与拟调整内容。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今日随[真实主治医师]查房，患者[当日症状和实查]，检查[真实结果]。围绕真实过程、采样条件、方法标准及结果限制核对当前依据与治疗执行，[真实主治意见]；近期观察[具体指标]。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今日随[真实副主任医师]查房，患者[当日状态]，现有[关键证据]。就真实过程、采样条件、方法标准及结果限制分析病因、分型和证据限制，兼顾[实际共病风险]，[真实副主任意见与优化计划]；继续观察[指标]。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真实过程、采样条件、方法标准及结果限制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内分泌危重症查房</w:t>
      </w:r>
    </w:p>
    <w:p>
      <w:pPr/>
      <w:r>
        <w:t>适用：危急指标、处置反应和多学科升级。必需：当日症状与实查、可用数据、真实医师层级姓名及意见、已执行与拟调整内容。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今日随[真实主治医师]查房，患者[当日症状和实查]，检查[真实结果]。围绕危急指标、处置反应和多学科升级核对当前依据与治疗执行，[真实主治意见]；近期观察[具体指标]。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今日随[真实副主任医师]查房，患者[当日状态]，现有[关键证据]。就危急指标、处置反应和多学科升级分析病因、分型和证据限制，兼顾[实际共病风险]，[真实副主任意见与优化计划]；继续观察[指标]。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危急指标、处置反应和多学科升级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诊断修正查房</w:t>
      </w:r>
    </w:p>
    <w:p>
      <w:pPr/>
      <w:r>
        <w:t>适用：新增或撤回诊断的证据及作出时间。必需：当日症状与实查、可用数据、真实医师层级姓名及意见、已执行与拟调整内容。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今日随[真实主治医师]查房，患者[当日症状和实查]，检查[真实结果]。围绕新增或撤回诊断的证据及作出时间核对当前依据与治疗执行，[真实主治意见]；近期观察[具体指标]。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今日随[真实副主任医师]查房，患者[当日状态]，现有[关键证据]。就新增或撤回诊断的证据及作出时间分析病因、分型和证据限制，兼顾[实际共病风险]，[真实副主任意见与优化计划]；继续观察[指标]。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新增或撤回诊断的证据及作出时间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出院前查房</w:t>
      </w:r>
    </w:p>
    <w:p>
      <w:pPr/>
      <w:r>
        <w:t>适用：最终诊断、药物核对、遗留问题和随访责任。必需：当日症状与实查、可用数据、真实医师层级姓名及意见、已执行与拟调整内容。</w:t>
      </w:r>
    </w:p>
    <w:p>
      <w:pPr/>
      <w:r>
        <w:t>主治层模板：</w:t>
      </w:r>
    </w:p>
    <w:p>
      <w:pPr/>
      <w:r>
        <w:t>[日期时间] [姓名] 主治医师查房记录</w:t>
      </w:r>
    </w:p>
    <w:p>
      <w:pPr>
        <w:pStyle w:val="Code"/>
      </w:pPr>
      <w:r>
        <w:t>```text</w:t>
      </w:r>
    </w:p>
    <w:p>
      <w:pPr>
        <w:pStyle w:val="Code"/>
      </w:pPr>
      <w:r>
        <w:t>今日随[真实主治医师]查房，患者[当日症状和实查]，检查[真实结果]。围绕最终诊断、药物核对、遗留问题和随访责任核对当前依据与治疗执行，[真实主治意见]；近期观察[具体指标]。</w:t>
      </w:r>
    </w:p>
    <w:p>
      <w:pPr>
        <w:pStyle w:val="Code"/>
      </w:pPr>
      <w:r>
        <w:t>```</w:t>
      </w:r>
    </w:p>
    <w:p>
      <w:pPr/>
      <w:r>
        <w:t>副主任层模板：</w:t>
      </w:r>
    </w:p>
    <w:p>
      <w:pPr/>
      <w:r>
        <w:t>[日期时间] [姓名] 副主任医师查房记录</w:t>
      </w:r>
    </w:p>
    <w:p>
      <w:pPr>
        <w:pStyle w:val="Code"/>
      </w:pPr>
      <w:r>
        <w:t>```text</w:t>
      </w:r>
    </w:p>
    <w:p>
      <w:pPr>
        <w:pStyle w:val="Code"/>
      </w:pPr>
      <w:r>
        <w:t>今日随[真实副主任医师]查房，患者[当日状态]，现有[关键证据]。就最终诊断、药物核对、遗留问题和随访责任分析病因、分型和证据限制，兼顾[实际共病风险]，[真实副主任意见与优化计划]；继续观察[指标]。</w:t>
      </w:r>
    </w:p>
    <w:p>
      <w:pPr>
        <w:pStyle w:val="Code"/>
      </w:pPr>
      <w:r>
        <w:t>```</w:t>
      </w:r>
    </w:p>
    <w:p>
      <w:pPr/>
      <w:r>
        <w:t>主任层模板：</w:t>
      </w:r>
    </w:p>
    <w:p>
      <w:pPr/>
      <w:r>
        <w:t>[日期时间] [姓名] 主任医师查房记录</w:t>
      </w:r>
    </w:p>
    <w:p>
      <w:pPr>
        <w:pStyle w:val="Code"/>
      </w:pPr>
      <w:r>
        <w:t>```text</w:t>
      </w:r>
    </w:p>
    <w:p>
      <w:pPr>
        <w:pStyle w:val="Code"/>
      </w:pPr>
      <w:r>
        <w:t>今日随[真实主任医师]查房，患者[当日状态及关键结果]。围绕最终诊断、药物核对、遗留问题和随访责任复核复杂诊断和相关轴功能，[真实主任的重大决策及风险获益判断]；结合[实际患者条件]确定个体目标与长期衔接，后续[计划与责任]。</w:t>
      </w:r>
    </w:p>
    <w:p>
      <w:pPr>
        <w:pStyle w:val="Code"/>
      </w:pPr>
      <w:r>
        <w:t>```</w:t>
      </w:r>
    </w:p>
    <w:p>
      <w:pPr/>
      <w:r>
        <w:t>质控：意见须可追溯；未实际检查不能复制旧体征，各级记录均一段。</w:t>
      </w:r>
    </w:p>
    <w:p>
      <w:pPr>
        <w:pStyle w:val="Heading1"/>
      </w:pPr>
      <w:r>
        <w:t>虚构三级差异化示例</w:t>
      </w:r>
    </w:p>
    <w:p>
      <w:pPr/>
      <w:r>
        <w:t>SIM-08同一患者仅给出空腹高糖、夜间低糖及CKD待评估，无真实查房意见，以下均为框外标注的拟稿分析重点：主治核对进食、注射和夜间事件；副主任进一步判断肾功能、药物蓄积和方案组成；主任复核强化的收益风险、照护能力和长期目标。三者均不得自动增加基础胰岛素，也不宣称任何医师实际发表意见。正式输出见10中T26。</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R04 中国糖尿病防治指南 2024版</w:t>
      </w:r>
    </w:p>
    <w:p>
      <w:pPr/>
      <w:r>
        <w:t>版本：中华医学会糖尿病学分会，2025；DOI 10.3760/cma.j.cn115791-20241203-00705</w:t>
      </w:r>
    </w:p>
    <w:p>
      <w:pPr/>
      <w:r>
        <w:t>核验范围：学会发布、题名及版本已核；全量推荐逐条核验未完成，国内优先来源</w:t>
      </w:r>
    </w:p>
    <w:p>
      <w:pPr/>
      <w:r>
        <w:t>来源：https://diab.cma.org.cn/cn/ncontent.aspx?oid=3042</w:t>
      </w:r>
    </w:p>
    <w:p>
      <w:pPr/>
      <w:r>
        <w:t>核验日期：2026-10-26</w:t>
      </w:r>
    </w:p>
    <w:p>
      <w:pPr>
        <w:spacing w:after="40"/>
      </w:pPr>
    </w:p>
    <w:p>
      <w:pPr/>
      <w:r>
        <w:t>R09 甲状腺疾病指南与声明目录</w:t>
      </w:r>
    </w:p>
    <w:p>
      <w:pPr/>
      <w:r>
        <w:t>版本：ATA；甲亢2016、甲减2014、结节2015及后续肿瘤更新分别管理</w:t>
      </w:r>
    </w:p>
    <w:p>
      <w:pPr/>
      <w:r>
        <w:t>核验范围：学会目录核验；甲亢中国2022原指南另见R20，甲减及结节国内现行全文和妊娠专门版本仍待核验；不同病种不能混用版本</w:t>
      </w:r>
    </w:p>
    <w:p>
      <w:pPr/>
      <w:r>
        <w:t>来源：https://www.thyroid.org/professionals/ata-professional-guidelines/</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p>
      <w:pPr>
        <w:spacing w:after="40"/>
      </w:pPr>
    </w:p>
    <w:p>
      <w:pPr/>
      <w:r>
        <w:t>R12 Primary Aldosteronism Clinical Practice Guideline</w:t>
      </w:r>
    </w:p>
    <w:p>
      <w:pPr/>
      <w:r>
        <w:t>版本：Endocrine Society，2025；JCEM 110 2453–2495；DOI 10.1210/clinem/dgaf284</w:t>
      </w:r>
    </w:p>
    <w:p>
      <w:pPr/>
      <w:r>
        <w:t>核验范围：原始期刊题录及2025版本核验；筛查确证豁免、ARR阈值与药物停换条款待核，不按旧版硬编码</w:t>
      </w:r>
    </w:p>
    <w:p>
      <w:pPr/>
      <w:r>
        <w:t>来源：https://academic.oup.com/jcem/article/110/9/2453/8196671</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08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内分泌科三级医师查房决策与层级表达模板库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