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09 内分泌科慢病管理患者教育出院及长期随访模板库</w:t>
      </w:r>
    </w:p>
    <w:p>
      <w:pPr>
        <w:pStyle w:val="Subtitle"/>
      </w:pPr>
      <w:r>
        <w:t>内分泌科AI病历书写系统 V1.0</w:t>
      </w:r>
    </w:p>
    <w:p>
      <w:r>
        <w:t>文件编号 09</w:t>
        <w:br/>
        <w:t>版本 V1.0</w:t>
        <w:br/>
        <w:t>所属层级 第二级 通用功能层</w:t>
        <w:br/>
        <w:t>建设及来源核验日期 2026年10月26日</w:t>
        <w:br/>
        <w:t>适用对象 内分泌科责任医师与病案质控人员</w:t>
      </w:r>
    </w:p>
    <w:p>
      <w:r>
        <w:t>模块职责：内分泌科慢病管理患者教育出院及长期随访模板库。本文件提供规则、可填写模板及虚构案例，供医师审核后使用。模板中的待填字段不是患者事实；未完成来源核验与科室审核的条款不作为自动诊疗依据。</w:t>
      </w:r>
    </w:p>
    <w:p>
      <w:pPr>
        <w:pStyle w:val="Heading1"/>
      </w:pPr>
      <w:r>
        <w:t>适用场景与自动调用</w:t>
      </w:r>
    </w:p>
    <w:p>
      <w:r>
        <w:t>当00和11识别到内分泌科慢病管理患者教育出院及长期随访模板库对应任务时加载；涉及多问题按最小充分原则联合相关模块。通用流程为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pStyle w:val="Heading1"/>
      </w:pPr>
      <w:r>
        <w:t>目录</w:t>
      </w:r>
    </w:p>
    <w:p>
      <w:pPr/>
      <w:r>
        <w:t>出院闭环与教育事实</w:t>
      </w:r>
    </w:p>
    <w:p>
      <w:pPr/>
      <w:r>
        <w:t>糖尿病长期血糖管理</w:t>
      </w:r>
    </w:p>
    <w:p>
      <w:pPr/>
      <w:r>
        <w:t>HbA1c随访</w:t>
      </w:r>
    </w:p>
    <w:p>
      <w:pPr/>
      <w:r>
        <w:t>指尖血糖监测</w:t>
      </w:r>
    </w:p>
    <w:p>
      <w:pPr/>
      <w:r>
        <w:t>连续血糖监测指标</w:t>
      </w:r>
    </w:p>
    <w:p>
      <w:pPr/>
      <w:r>
        <w:t>低血糖预防</w:t>
      </w:r>
    </w:p>
    <w:p>
      <w:pPr/>
      <w:r>
        <w:t>胰岛素注射教育</w:t>
      </w:r>
    </w:p>
    <w:p>
      <w:pPr/>
      <w:r>
        <w:t>胰岛素泵教育</w:t>
      </w:r>
    </w:p>
    <w:p>
      <w:pPr/>
      <w:r>
        <w:t>饮食与医学营养治疗</w:t>
      </w:r>
    </w:p>
    <w:p>
      <w:pPr/>
      <w:r>
        <w:t>运动与体重管理</w:t>
      </w:r>
    </w:p>
    <w:p>
      <w:pPr/>
      <w:r>
        <w:t>足部护理</w:t>
      </w:r>
    </w:p>
    <w:p>
      <w:pPr/>
      <w:r>
        <w:t>糖尿病视网膜病变筛查</w:t>
      </w:r>
    </w:p>
    <w:p>
      <w:pPr/>
      <w:r>
        <w:t>糖尿病肾脏病随访</w:t>
      </w:r>
    </w:p>
    <w:p>
      <w:pPr/>
      <w:r>
        <w:t>周围神经病变随访</w:t>
      </w:r>
    </w:p>
    <w:p>
      <w:pPr/>
      <w:r>
        <w:t>糖尿病心血管风险管理</w:t>
      </w:r>
    </w:p>
    <w:p>
      <w:pPr/>
      <w:r>
        <w:t>甲状腺功能复查</w:t>
      </w:r>
    </w:p>
    <w:p>
      <w:pPr/>
      <w:r>
        <w:t>甲亢及甲减长期用药管理</w:t>
      </w:r>
    </w:p>
    <w:p>
      <w:pPr/>
      <w:r>
        <w:t>垂体疾病长期激素监测</w:t>
      </w:r>
    </w:p>
    <w:p>
      <w:pPr/>
      <w:r>
        <w:t>肾上腺疾病长期管理</w:t>
      </w:r>
    </w:p>
    <w:p>
      <w:pPr/>
      <w:r>
        <w:t>糖皮质激素替代患者的安全教育</w:t>
      </w:r>
    </w:p>
    <w:p>
      <w:pPr/>
      <w:r>
        <w:t>甲状旁腺及骨代谢随访</w:t>
      </w:r>
    </w:p>
    <w:p>
      <w:pPr/>
      <w:r>
        <w:t>骨折风险及骨质疏松管理</w:t>
      </w:r>
    </w:p>
    <w:p>
      <w:pPr/>
      <w:r>
        <w:t>肥胖症和代谢综合征长期随访</w:t>
      </w:r>
    </w:p>
    <w:p>
      <w:pPr/>
      <w:r>
        <w:t>出院治疗方案核对</w:t>
      </w:r>
    </w:p>
    <w:p>
      <w:pPr/>
      <w:r>
        <w:t>出院后的危急警示症状</w:t>
      </w:r>
    </w:p>
    <w:p>
      <w:pPr/>
      <w:r>
        <w:t>长期多学科协作</w:t>
      </w:r>
    </w:p>
    <w:p>
      <w:pPr/>
      <w:r>
        <w:t>虚构出院交接示例</w:t>
      </w:r>
    </w:p>
    <w:p>
      <w:pPr/>
      <w:r>
        <w:t>事实边界与禁止事项</w:t>
      </w:r>
    </w:p>
    <w:p>
      <w:pPr/>
      <w:r>
        <w:t>常见错误与质量清单</w:t>
      </w:r>
    </w:p>
    <w:p>
      <w:pPr/>
      <w:r>
        <w:t>模块协同与更新</w:t>
      </w:r>
    </w:p>
    <w:p>
      <w:pPr/>
      <w:r>
        <w:t>参考指南与版本核验</w:t>
      </w:r>
    </w:p>
    <w:p>
      <w:r>
        <w:t>上述为完整主题目录，可通过Word或WPS导航窗格定位。下列域可在支持的编辑器中更新页码。</w:t>
      </w:r>
    </w:p>
    <w:p>
      <w:r/>
      <w:fldSimple w:instr="TOC \o &quot;1-2&quot; \h \z \u"/>
    </w:p>
    <w:p>
      <w:r>
        <w:br w:type="page"/>
      </w:r>
    </w:p>
    <w:p>
      <w:pPr>
        <w:pStyle w:val="Heading1"/>
      </w:pPr>
      <w:r>
        <w:t>出院闭环与教育事实</w:t>
      </w:r>
    </w:p>
    <w:p>
      <w:pPr/>
      <w:r>
        <w:t>先确认出院决定、最终诊断及证据，核对最后医嘱和实际执行；已停药与出院处方分开，待回结果、未完成筛查、复诊时间地点和接续责任明确。教育须记录实际讲解者、内容、患者或照护者理解与回示；只提供教育计划不能写已掌握。目标依年龄、妊娠、衰弱和共病个体化。</w:t>
      </w:r>
    </w:p>
    <w:p>
      <w:pPr>
        <w:pStyle w:val="Heading1"/>
      </w:pPr>
      <w:r>
        <w:t>糖尿病长期血糖管理</w:t>
      </w:r>
    </w:p>
    <w:p>
      <w:pPr/>
      <w:r>
        <w:t>重点：个体目标与病日状态。资料：实际诊断和风险、已确认方案、患者能力和复诊安排。</w:t>
      </w:r>
    </w:p>
    <w:p>
      <w:pPr/>
      <w:r>
        <w:t>模板：针对[真实问题]，计划或已经[具体教育及状态]，患者或照护者[实际反馈，未评估不填已掌握]；后续按[医师确认的监测及复诊安排]评估个体目标与病日状态。出现[适用警示症状]及时就医，药物不能自行停换。</w:t>
      </w:r>
    </w:p>
    <w:p>
      <w:pPr/>
      <w:r>
        <w:t>质控：无固定适用于所有人的目标、剂量或复查日期；复诊信息缺失在框外补充，不自填。</w:t>
      </w:r>
    </w:p>
    <w:p>
      <w:pPr>
        <w:pStyle w:val="Heading1"/>
      </w:pPr>
      <w:r>
        <w:t>HbA1c随访</w:t>
      </w:r>
    </w:p>
    <w:p>
      <w:pPr/>
      <w:r>
        <w:t>重点：计划复查与检测干扰。资料：实际诊断和风险、已确认方案、患者能力和复诊安排。</w:t>
      </w:r>
    </w:p>
    <w:p>
      <w:pPr/>
      <w:r>
        <w:t>模板：针对[真实问题]，计划或已经[具体教育及状态]，患者或照护者[实际反馈，未评估不填已掌握]；后续按[医师确认的监测及复诊安排]评估计划复查与检测干扰。出现[适用警示症状]及时就医，药物不能自行停换。</w:t>
      </w:r>
    </w:p>
    <w:p>
      <w:pPr/>
      <w:r>
        <w:t>质控：无固定适用于所有人的目标、剂量或复查日期；复诊信息缺失在框外补充，不自填。</w:t>
      </w:r>
    </w:p>
    <w:p>
      <w:pPr>
        <w:pStyle w:val="Heading1"/>
      </w:pPr>
      <w:r>
        <w:t>指尖血糖监测</w:t>
      </w:r>
    </w:p>
    <w:p>
      <w:pPr/>
      <w:r>
        <w:t>重点：餐次、时间及记录方法。资料：实际诊断和风险、已确认方案、患者能力和复诊安排。</w:t>
      </w:r>
    </w:p>
    <w:p>
      <w:pPr/>
      <w:r>
        <w:t>模板：针对[真实问题]，计划或已经[具体教育及状态]，患者或照护者[实际反馈，未评估不填已掌握]；后续按[医师确认的监测及复诊安排]评估餐次、时间及记录方法。出现[适用警示症状]及时就医，药物不能自行停换。</w:t>
      </w:r>
    </w:p>
    <w:p>
      <w:pPr/>
      <w:r>
        <w:t>质控：无固定适用于所有人的目标、剂量或复查日期；复诊信息缺失在框外补充，不自填。</w:t>
      </w:r>
    </w:p>
    <w:p>
      <w:pPr>
        <w:pStyle w:val="Heading1"/>
      </w:pPr>
      <w:r>
        <w:t>连续血糖监测指标</w:t>
      </w:r>
    </w:p>
    <w:p>
      <w:pPr/>
      <w:r>
        <w:t>重点：有效数据与报警复核。资料：实际诊断和风险、已确认方案、患者能力和复诊安排。</w:t>
      </w:r>
    </w:p>
    <w:p>
      <w:pPr/>
      <w:r>
        <w:t>模板：针对[真实问题]，计划或已经[具体教育及状态]，患者或照护者[实际反馈，未评估不填已掌握]；后续按[医师确认的监测及复诊安排]评估有效数据与报警复核。出现[适用警示症状]及时就医，药物不能自行停换。</w:t>
      </w:r>
    </w:p>
    <w:p>
      <w:pPr/>
      <w:r>
        <w:t>质控：无固定适用于所有人的目标、剂量或复查日期；复诊信息缺失在框外补充，不自填。</w:t>
      </w:r>
    </w:p>
    <w:p>
      <w:pPr>
        <w:pStyle w:val="Heading1"/>
      </w:pPr>
      <w:r>
        <w:t>低血糖预防</w:t>
      </w:r>
    </w:p>
    <w:p>
      <w:pPr/>
      <w:r>
        <w:t>重点：症状识别、及时求助和药物复评。资料：实际诊断和风险、已确认方案、患者能力和复诊安排。</w:t>
      </w:r>
    </w:p>
    <w:p>
      <w:pPr/>
      <w:r>
        <w:t>模板：针对[真实问题]，计划或已经[具体教育及状态]，患者或照护者[实际反馈，未评估不填已掌握]；后续按[医师确认的监测及复诊安排]评估症状识别、及时求助和药物复评。出现[适用警示症状]及时就医，药物不能自行停换。</w:t>
      </w:r>
    </w:p>
    <w:p>
      <w:pPr/>
      <w:r>
        <w:t>质控：无固定适用于所有人的目标、剂量或复查日期；复诊信息缺失在框外补充，不自填。</w:t>
      </w:r>
    </w:p>
    <w:p>
      <w:pPr>
        <w:pStyle w:val="Heading1"/>
      </w:pPr>
      <w:r>
        <w:t>胰岛素注射教育</w:t>
      </w:r>
    </w:p>
    <w:p>
      <w:pPr/>
      <w:r>
        <w:t>重点：制剂、部位轮换及实际示教反馈。资料：实际诊断和风险、已确认方案、患者能力和复诊安排。</w:t>
      </w:r>
    </w:p>
    <w:p>
      <w:pPr/>
      <w:r>
        <w:t>模板：针对[真实问题]，计划或已经[具体教育及状态]，患者或照护者[实际反馈，未评估不填已掌握]；后续按[医师确认的监测及复诊安排]评估制剂、部位轮换及实际示教反馈。出现[适用警示症状]及时就医，药物不能自行停换。</w:t>
      </w:r>
    </w:p>
    <w:p>
      <w:pPr/>
      <w:r>
        <w:t>质控：无固定适用于所有人的目标、剂量或复查日期；复诊信息缺失在框外补充，不自填。</w:t>
      </w:r>
    </w:p>
    <w:p>
      <w:pPr>
        <w:pStyle w:val="Heading1"/>
      </w:pPr>
      <w:r>
        <w:t>胰岛素泵教育</w:t>
      </w:r>
    </w:p>
    <w:p>
      <w:pPr/>
      <w:r>
        <w:t>重点：耗材、故障和备用方案。资料：实际诊断和风险、已确认方案、患者能力和复诊安排。</w:t>
      </w:r>
    </w:p>
    <w:p>
      <w:pPr/>
      <w:r>
        <w:t>模板：针对[真实问题]，计划或已经[具体教育及状态]，患者或照护者[实际反馈，未评估不填已掌握]；后续按[医师确认的监测及复诊安排]评估耗材、故障和备用方案。出现[适用警示症状]及时就医，药物不能自行停换。</w:t>
      </w:r>
    </w:p>
    <w:p>
      <w:pPr/>
      <w:r>
        <w:t>质控：无固定适用于所有人的目标、剂量或复查日期；复诊信息缺失在框外补充，不自填。</w:t>
      </w:r>
    </w:p>
    <w:p>
      <w:pPr>
        <w:pStyle w:val="Heading1"/>
      </w:pPr>
      <w:r>
        <w:t>饮食与医学营养治疗</w:t>
      </w:r>
    </w:p>
    <w:p>
      <w:pPr/>
      <w:r>
        <w:t>重点：摄入、肾病营养及偏好。资料：实际诊断和风险、已确认方案、患者能力和复诊安排。</w:t>
      </w:r>
    </w:p>
    <w:p>
      <w:pPr/>
      <w:r>
        <w:t>模板：针对[真实问题]，计划或已经[具体教育及状态]，患者或照护者[实际反馈，未评估不填已掌握]；后续按[医师确认的监测及复诊安排]评估摄入、肾病营养及偏好。出现[适用警示症状]及时就医，药物不能自行停换。</w:t>
      </w:r>
    </w:p>
    <w:p>
      <w:pPr/>
      <w:r>
        <w:t>质控：无固定适用于所有人的目标、剂量或复查日期；复诊信息缺失在框外补充，不自填。</w:t>
      </w:r>
    </w:p>
    <w:p>
      <w:pPr>
        <w:pStyle w:val="Heading1"/>
      </w:pPr>
      <w:r>
        <w:t>运动与体重管理</w:t>
      </w:r>
    </w:p>
    <w:p>
      <w:pPr/>
      <w:r>
        <w:t>重点：运动能力、足风险及低糖。资料：实际诊断和风险、已确认方案、患者能力和复诊安排。</w:t>
      </w:r>
    </w:p>
    <w:p>
      <w:pPr/>
      <w:r>
        <w:t>模板：针对[真实问题]，计划或已经[具体教育及状态]，患者或照护者[实际反馈，未评估不填已掌握]；后续按[医师确认的监测及复诊安排]评估运动能力、足风险及低糖。出现[适用警示症状]及时就医，药物不能自行停换。</w:t>
      </w:r>
    </w:p>
    <w:p>
      <w:pPr/>
      <w:r>
        <w:t>质控：无固定适用于所有人的目标、剂量或复查日期；复诊信息缺失在框外补充，不自填。</w:t>
      </w:r>
    </w:p>
    <w:p>
      <w:pPr>
        <w:pStyle w:val="Heading1"/>
      </w:pPr>
      <w:r>
        <w:t>足部护理</w:t>
      </w:r>
    </w:p>
    <w:p>
      <w:pPr/>
      <w:r>
        <w:t>重点：每日观察、鞋袜和破溃求助。资料：实际诊断和风险、已确认方案、患者能力和复诊安排。</w:t>
      </w:r>
    </w:p>
    <w:p>
      <w:pPr/>
      <w:r>
        <w:t>模板：针对[真实问题]，计划或已经[具体教育及状态]，患者或照护者[实际反馈，未评估不填已掌握]；后续按[医师确认的监测及复诊安排]评估每日观察、鞋袜和破溃求助。出现[适用警示症状]及时就医，药物不能自行停换。</w:t>
      </w:r>
    </w:p>
    <w:p>
      <w:pPr/>
      <w:r>
        <w:t>质控：无固定适用于所有人的目标、剂量或复查日期；复诊信息缺失在框外补充，不自填。</w:t>
      </w:r>
    </w:p>
    <w:p>
      <w:pPr>
        <w:pStyle w:val="Heading1"/>
      </w:pPr>
      <w:r>
        <w:t>糖尿病视网膜病变筛查</w:t>
      </w:r>
    </w:p>
    <w:p>
      <w:pPr/>
      <w:r>
        <w:t>重点：真实筛查及眼科责任。资料：实际诊断和风险、已确认方案、患者能力和复诊安排。</w:t>
      </w:r>
    </w:p>
    <w:p>
      <w:pPr/>
      <w:r>
        <w:t>模板：针对[真实问题]，计划或已经[具体教育及状态]，患者或照护者[实际反馈，未评估不填已掌握]；后续按[医师确认的监测及复诊安排]评估真实筛查及眼科责任。出现[适用警示症状]及时就医，药物不能自行停换。</w:t>
      </w:r>
    </w:p>
    <w:p>
      <w:pPr/>
      <w:r>
        <w:t>质控：无固定适用于所有人的目标、剂量或复查日期；复诊信息缺失在框外补充，不自填。</w:t>
      </w:r>
    </w:p>
    <w:p>
      <w:pPr>
        <w:pStyle w:val="Heading1"/>
      </w:pPr>
      <w:r>
        <w:t>糖尿病肾脏病随访</w:t>
      </w:r>
    </w:p>
    <w:p>
      <w:pPr/>
      <w:r>
        <w:t>重点：UACR eGFR趋势与病因。资料：实际诊断和风险、已确认方案、患者能力和复诊安排。</w:t>
      </w:r>
    </w:p>
    <w:p>
      <w:pPr/>
      <w:r>
        <w:t>模板：针对[真实问题]，计划或已经[具体教育及状态]，患者或照护者[实际反馈，未评估不填已掌握]；后续按[医师确认的监测及复诊安排]评估UACR eGFR趋势与病因。出现[适用警示症状]及时就医，药物不能自行停换。</w:t>
      </w:r>
    </w:p>
    <w:p>
      <w:pPr/>
      <w:r>
        <w:t>质控：无固定适用于所有人的目标、剂量或复查日期；复诊信息缺失在框外补充，不自填。</w:t>
      </w:r>
    </w:p>
    <w:p>
      <w:pPr>
        <w:pStyle w:val="Heading1"/>
      </w:pPr>
      <w:r>
        <w:t>周围神经病变随访</w:t>
      </w:r>
    </w:p>
    <w:p>
      <w:pPr/>
      <w:r>
        <w:t>重点：感觉变化和足安全。资料：实际诊断和风险、已确认方案、患者能力和复诊安排。</w:t>
      </w:r>
    </w:p>
    <w:p>
      <w:pPr/>
      <w:r>
        <w:t>模板：针对[真实问题]，计划或已经[具体教育及状态]，患者或照护者[实际反馈，未评估不填已掌握]；后续按[医师确认的监测及复诊安排]评估感觉变化和足安全。出现[适用警示症状]及时就医，药物不能自行停换。</w:t>
      </w:r>
    </w:p>
    <w:p>
      <w:pPr/>
      <w:r>
        <w:t>质控：无固定适用于所有人的目标、剂量或复查日期；复诊信息缺失在框外补充，不自填。</w:t>
      </w:r>
    </w:p>
    <w:p>
      <w:pPr>
        <w:pStyle w:val="Heading1"/>
      </w:pPr>
      <w:r>
        <w:t>糖尿病心血管风险管理</w:t>
      </w:r>
    </w:p>
    <w:p>
      <w:pPr/>
      <w:r>
        <w:t>重点：血压血脂吸烟及心肾共病。资料：实际诊断和风险、已确认方案、患者能力和复诊安排。</w:t>
      </w:r>
    </w:p>
    <w:p>
      <w:pPr/>
      <w:r>
        <w:t>模板：针对[真实问题]，计划或已经[具体教育及状态]，患者或照护者[实际反馈，未评估不填已掌握]；后续按[医师确认的监测及复诊安排]评估血压血脂吸烟及心肾共病。出现[适用警示症状]及时就医，药物不能自行停换。</w:t>
      </w:r>
    </w:p>
    <w:p>
      <w:pPr/>
      <w:r>
        <w:t>质控：无固定适用于所有人的目标、剂量或复查日期；复诊信息缺失在框外补充，不自填。</w:t>
      </w:r>
    </w:p>
    <w:p>
      <w:pPr>
        <w:pStyle w:val="Heading1"/>
      </w:pPr>
      <w:r>
        <w:t>甲状腺功能复查</w:t>
      </w:r>
    </w:p>
    <w:p>
      <w:pPr/>
      <w:r>
        <w:t>重点：药物阶段和检测条件。资料：实际诊断和风险、已确认方案、患者能力和复诊安排。</w:t>
      </w:r>
    </w:p>
    <w:p>
      <w:pPr/>
      <w:r>
        <w:t>模板：针对[真实问题]，计划或已经[具体教育及状态]，患者或照护者[实际反馈，未评估不填已掌握]；后续按[医师确认的监测及复诊安排]评估药物阶段和检测条件。出现[适用警示症状]及时就医，药物不能自行停换。</w:t>
      </w:r>
    </w:p>
    <w:p>
      <w:pPr/>
      <w:r>
        <w:t>质控：无固定适用于所有人的目标、剂量或复查日期；复诊信息缺失在框外补充，不自填。</w:t>
      </w:r>
    </w:p>
    <w:p>
      <w:pPr>
        <w:pStyle w:val="Heading1"/>
      </w:pPr>
      <w:r>
        <w:t>甲亢及甲减长期用药管理</w:t>
      </w:r>
    </w:p>
    <w:p>
      <w:pPr/>
      <w:r>
        <w:t>重点：不良反应、服药方法及复评。资料：实际诊断和风险、已确认方案、患者能力和复诊安排。</w:t>
      </w:r>
    </w:p>
    <w:p>
      <w:pPr/>
      <w:r>
        <w:t>模板：针对[真实问题]，计划或已经[具体教育及状态]，患者或照护者[实际反馈，未评估不填已掌握]；后续按[医师确认的监测及复诊安排]评估不良反应、服药方法及复评。出现[适用警示症状]及时就医，药物不能自行停换。</w:t>
      </w:r>
    </w:p>
    <w:p>
      <w:pPr/>
      <w:r>
        <w:t>质控：无固定适用于所有人的目标、剂量或复查日期；复诊信息缺失在框外补充，不自填。</w:t>
      </w:r>
    </w:p>
    <w:p>
      <w:pPr>
        <w:pStyle w:val="Heading1"/>
      </w:pPr>
      <w:r>
        <w:t>垂体疾病长期激素监测</w:t>
      </w:r>
    </w:p>
    <w:p>
      <w:pPr/>
      <w:r>
        <w:t>重点：多轴功能、视野和影像。资料：实际诊断和风险、已确认方案、患者能力和复诊安排。</w:t>
      </w:r>
    </w:p>
    <w:p>
      <w:pPr/>
      <w:r>
        <w:t>模板：针对[真实问题]，计划或已经[具体教育及状态]，患者或照护者[实际反馈，未评估不填已掌握]；后续按[医师确认的监测及复诊安排]评估多轴功能、视野和影像。出现[适用警示症状]及时就医，药物不能自行停换。</w:t>
      </w:r>
    </w:p>
    <w:p>
      <w:pPr/>
      <w:r>
        <w:t>质控：无固定适用于所有人的目标、剂量或复查日期；复诊信息缺失在框外补充，不自填。</w:t>
      </w:r>
    </w:p>
    <w:p>
      <w:pPr>
        <w:pStyle w:val="Heading1"/>
      </w:pPr>
      <w:r>
        <w:t>肾上腺疾病长期管理</w:t>
      </w:r>
    </w:p>
    <w:p>
      <w:pPr/>
      <w:r>
        <w:t>重点：血压电解质及功能。资料：实际诊断和风险、已确认方案、患者能力和复诊安排。</w:t>
      </w:r>
    </w:p>
    <w:p>
      <w:pPr/>
      <w:r>
        <w:t>模板：针对[真实问题]，计划或已经[具体教育及状态]，患者或照护者[实际反馈，未评估不填已掌握]；后续按[医师确认的监测及复诊安排]评估血压电解质及功能。出现[适用警示症状]及时就医，药物不能自行停换。</w:t>
      </w:r>
    </w:p>
    <w:p>
      <w:pPr/>
      <w:r>
        <w:t>质控：无固定适用于所有人的目标、剂量或复查日期；复诊信息缺失在框外补充，不自填。</w:t>
      </w:r>
    </w:p>
    <w:p>
      <w:pPr>
        <w:pStyle w:val="Heading1"/>
      </w:pPr>
      <w:r>
        <w:t>糖皮质激素替代患者的安全教育</w:t>
      </w:r>
    </w:p>
    <w:p>
      <w:pPr/>
      <w:r>
        <w:t>重点：应激联系和医师确认的病日方案。资料：实际诊断和风险、已确认方案、患者能力和复诊安排。</w:t>
      </w:r>
    </w:p>
    <w:p>
      <w:pPr/>
      <w:r>
        <w:t>模板：针对[真实问题]，计划或已经[具体教育及状态]，患者或照护者[实际反馈，未评估不填已掌握]；后续按[医师确认的监测及复诊安排]评估应激联系和医师确认的病日方案。出现[适用警示症状]及时就医，药物不能自行停换。</w:t>
      </w:r>
    </w:p>
    <w:p>
      <w:pPr/>
      <w:r>
        <w:t>质控：无固定适用于所有人的目标、剂量或复查日期；复诊信息缺失在框外补充，不自填。</w:t>
      </w:r>
    </w:p>
    <w:p>
      <w:pPr>
        <w:pStyle w:val="Heading1"/>
      </w:pPr>
      <w:r>
        <w:t>甲状旁腺及骨代谢随访</w:t>
      </w:r>
    </w:p>
    <w:p>
      <w:pPr/>
      <w:r>
        <w:t>重点：钙磷镁肾功能和症状。资料：实际诊断和风险、已确认方案、患者能力和复诊安排。</w:t>
      </w:r>
    </w:p>
    <w:p>
      <w:pPr/>
      <w:r>
        <w:t>模板：针对[真实问题]，计划或已经[具体教育及状态]，患者或照护者[实际反馈，未评估不填已掌握]；后续按[医师确认的监测及复诊安排]评估钙磷镁肾功能和症状。出现[适用警示症状]及时就医，药物不能自行停换。</w:t>
      </w:r>
    </w:p>
    <w:p>
      <w:pPr/>
      <w:r>
        <w:t>质控：无固定适用于所有人的目标、剂量或复查日期；复诊信息缺失在框外补充，不自填。</w:t>
      </w:r>
    </w:p>
    <w:p>
      <w:pPr>
        <w:pStyle w:val="Heading1"/>
      </w:pPr>
      <w:r>
        <w:t>骨折风险及骨质疏松管理</w:t>
      </w:r>
    </w:p>
    <w:p>
      <w:pPr/>
      <w:r>
        <w:t>重点：跌倒骨折及药物序列。资料：实际诊断和风险、已确认方案、患者能力和复诊安排。</w:t>
      </w:r>
    </w:p>
    <w:p>
      <w:pPr/>
      <w:r>
        <w:t>模板：针对[真实问题]，计划或已经[具体教育及状态]，患者或照护者[实际反馈，未评估不填已掌握]；后续按[医师确认的监测及复诊安排]评估跌倒骨折及药物序列。出现[适用警示症状]及时就医，药物不能自行停换。</w:t>
      </w:r>
    </w:p>
    <w:p>
      <w:pPr/>
      <w:r>
        <w:t>质控：无固定适用于所有人的目标、剂量或复查日期；复诊信息缺失在框外补充，不自填。</w:t>
      </w:r>
    </w:p>
    <w:p>
      <w:pPr>
        <w:pStyle w:val="Heading1"/>
      </w:pPr>
      <w:r>
        <w:t>肥胖症和代谢综合征长期随访</w:t>
      </w:r>
    </w:p>
    <w:p>
      <w:pPr/>
      <w:r>
        <w:t>重点：体重、营养、睡眠和共病。资料：实际诊断和风险、已确认方案、患者能力和复诊安排。</w:t>
      </w:r>
    </w:p>
    <w:p>
      <w:pPr/>
      <w:r>
        <w:t>模板：针对[真实问题]，计划或已经[具体教育及状态]，患者或照护者[实际反馈，未评估不填已掌握]；后续按[医师确认的监测及复诊安排]评估体重、营养、睡眠和共病。出现[适用警示症状]及时就医，药物不能自行停换。</w:t>
      </w:r>
    </w:p>
    <w:p>
      <w:pPr/>
      <w:r>
        <w:t>质控：无固定适用于所有人的目标、剂量或复查日期；复诊信息缺失在框外补充，不自填。</w:t>
      </w:r>
    </w:p>
    <w:p>
      <w:pPr>
        <w:pStyle w:val="Heading1"/>
      </w:pPr>
      <w:r>
        <w:t>出院治疗方案核对</w:t>
      </w:r>
    </w:p>
    <w:p>
      <w:pPr/>
      <w:r>
        <w:t>重点：旧药停续、制剂剂量频次和能力。资料：实际诊断和风险、已确认方案、患者能力和复诊安排。</w:t>
      </w:r>
    </w:p>
    <w:p>
      <w:pPr/>
      <w:r>
        <w:t>模板：针对[真实问题]，计划或已经[具体教育及状态]，患者或照护者[实际反馈，未评估不填已掌握]；后续按[医师确认的监测及复诊安排]评估旧药停续、制剂剂量频次和能力。出现[适用警示症状]及时就医，药物不能自行停换。</w:t>
      </w:r>
    </w:p>
    <w:p>
      <w:pPr/>
      <w:r>
        <w:t>质控：无固定适用于所有人的目标、剂量或复查日期；复诊信息缺失在框外补充，不自填。</w:t>
      </w:r>
    </w:p>
    <w:p>
      <w:pPr>
        <w:pStyle w:val="Heading1"/>
      </w:pPr>
      <w:r>
        <w:t>出院后的危急警示症状</w:t>
      </w:r>
    </w:p>
    <w:p>
      <w:pPr/>
      <w:r>
        <w:t>重点：意识、呼吸循环、呕吐脱水抽搐等急症。资料：实际诊断和风险、已确认方案、患者能力和复诊安排。</w:t>
      </w:r>
    </w:p>
    <w:p>
      <w:pPr/>
      <w:r>
        <w:t>模板：针对[真实问题]，计划或已经[具体教育及状态]，患者或照护者[实际反馈，未评估不填已掌握]；后续按[医师确认的监测及复诊安排]评估意识、呼吸循环、呕吐脱水抽搐等急症。出现[适用警示症状]及时就医，药物不能自行停换。</w:t>
      </w:r>
    </w:p>
    <w:p>
      <w:pPr/>
      <w:r>
        <w:t>质控：无固定适用于所有人的目标、剂量或复查日期；复诊信息缺失在框外补充，不自填。</w:t>
      </w:r>
    </w:p>
    <w:p>
      <w:pPr>
        <w:pStyle w:val="Heading1"/>
      </w:pPr>
      <w:r>
        <w:t>长期多学科协作</w:t>
      </w:r>
    </w:p>
    <w:p>
      <w:pPr/>
      <w:r>
        <w:t>重点：内分泌与相关专科及社区交接。资料：实际诊断和风险、已确认方案、患者能力和复诊安排。</w:t>
      </w:r>
    </w:p>
    <w:p>
      <w:pPr/>
      <w:r>
        <w:t>模板：针对[真实问题]，计划或已经[具体教育及状态]，患者或照护者[实际反馈，未评估不填已掌握]；后续按[医师确认的监测及复诊安排]评估内分泌与相关专科及社区交接。出现[适用警示症状]及时就医，药物不能自行停换。</w:t>
      </w:r>
    </w:p>
    <w:p>
      <w:pPr/>
      <w:r>
        <w:t>质控：无固定适用于所有人的目标、剂量或复查日期；复诊信息缺失在框外补充，不自填。</w:t>
      </w:r>
    </w:p>
    <w:p>
      <w:pPr>
        <w:pStyle w:val="Heading1"/>
      </w:pPr>
      <w:r>
        <w:t>虚构出院交接示例</w:t>
      </w:r>
    </w:p>
    <w:p>
      <w:pPr/>
      <w:r>
        <w:t>2026年10月26日 10:00 出院记录</w:t>
      </w:r>
    </w:p>
    <w:p>
      <w:pPr>
        <w:pStyle w:val="Code"/>
      </w:pPr>
      <w:r>
        <w:t>```text</w:t>
      </w:r>
    </w:p>
    <w:p>
      <w:pPr>
        <w:pStyle w:val="Code"/>
      </w:pPr>
      <w:r>
        <w:t>出院诊断：2型糖尿病。诊疗经过：住院期间完成血糖监测，已执行甘精胰岛素每晚12 U。出院情况：责任医师已确认出院，当前具体查体资料未提供。出院医嘱：甘精胰岛素每晚12 U皮下注射，按医师确认方案监测血糖；2026年11月2日内分泌门诊复诊，携血糖记录并核查待回自身抗体。若出现意识异常、反复低血糖、持续呕吐或明显脱水等及时就医；未提供其他出院药物，不予补写。</w:t>
      </w:r>
    </w:p>
    <w:p>
      <w:pPr>
        <w:pStyle w:val="Code"/>
      </w:pPr>
      <w:r>
        <w:t>```</w:t>
      </w:r>
    </w:p>
    <w:p>
      <w:pPr/>
      <w:r>
        <w:t>SIM-09全部虚构；患者注射能力未评估，不能称已掌握。</w:t>
      </w:r>
    </w:p>
    <w:p>
      <w:pPr>
        <w:pStyle w:val="Heading1"/>
      </w:pPr>
      <w:r>
        <w:t>事实边界与禁止事项</w:t>
      </w:r>
    </w:p>
    <w:p>
      <w:pPr/>
      <w:r>
        <w:t>逐项区分原始事实、临床解释、拟定建议、医师确认计划、已执行诊疗与未知状态。缺少记录不等于正常、否认或未实施；未提供数据不补造阴性体征、筛查结论、激素时点、药量、会诊意见或疗效。患者以姓名和住院号等两项可靠标识核对，床号不得作为唯一标识；每次住院单独隔离。身份冲突冻结引用，日期冲突保留来源并核实；后回报结果不得倒写为当时已知。禁止把筛查升格为确诊、影像等同功能、建议当执行、不同方法直接比较。所有正式医学文书采用Markdown text代码框；记录日期时间、文书标题、医师姓名及职称置于框外，框内仅正文，不重复标题及记录时间，不夹带解释。日常病程及主治、副主任、主任查房为连续一整段，不分条、不空行、不插多余空格；入院、首次病程、出院等固定栏目文书可保留必要项目结构。事件时间属于重要医学事实时应在正文保留，不能因排除记录时间而删除抢救或采样时点。正式净稿不得留占位符。关键事实冲突先在框外核实，暂停受影响正文。不得出现“根据昨天病程记录”“结合前一天查体情况”“根据用户上传的图片”“AI分析认为”等表述。</w:t>
      </w:r>
    </w:p>
    <w:p>
      <w:pPr>
        <w:pStyle w:val="Heading1"/>
      </w:pPr>
      <w:r>
        <w:t>常见错误与质量清单</w:t>
      </w:r>
    </w:p>
    <w:p>
      <w:pPr/>
      <w:r>
        <w:t>输出前逐项检查身份和住院事件、记录与事件时点、数值单位和参考范围、激素节律体位和用药、诊断确定度、医嘱状态、真实医师意见、待回结果和复诊责任。任何关键冲突阻断相关结论；一般缺失在正文外列补充项，不能补写“正常”。</w:t>
      </w:r>
    </w:p>
    <w:p>
      <w:pPr>
        <w:pStyle w:val="Heading1"/>
      </w:pPr>
      <w:r>
        <w:t>模块协同与更新</w:t>
      </w:r>
    </w:p>
    <w:p>
      <w:pPr/>
      <w:r>
        <w:t>读取00→遵循01→11核对身份、住院事件与当前状态→按任务选02—09→按问题选101—108→10逐条审查→输出。仅加载最小充分模块；危急情况06优先组织事件，仍受01真实性约束。书写前列出事实表、缺失项和诊断确定度；形成正文后核对证据、事件顺序、用药状态及输出格式；医师审核后方可进入正式电子病历。</w:t>
      </w:r>
    </w:p>
    <w:p>
      <w:pPr/>
      <w:r>
        <w:t>本库为可供AI读取的规则与Word模板，未部署电子病历接口、自动医嘱、患者数据库或跨会话记忆。科室负责人、相关亚专科与病案质控共同审校后进行院内试用；至少季度及重要指南、药品说明书、院内制度变化时复核。更新记录版本、来源、适用人群、阈值和影响模块，重跑10内相关病例。未核到全文或条款者标记待核验，不输出为已核验阈值。</w:t>
      </w:r>
    </w:p>
    <w:p>
      <w:pPr>
        <w:pStyle w:val="Heading1"/>
      </w:pPr>
      <w:r>
        <w:t>参考指南与版本核验</w:t>
      </w:r>
    </w:p>
    <w:p>
      <w:pPr/>
      <w:r>
        <w:t>R01 病历书写基本规范</w:t>
      </w:r>
    </w:p>
    <w:p>
      <w:pPr/>
      <w:r>
        <w:t>版本：原卫生部，2010，卫医政发〔2010〕11号</w:t>
      </w:r>
    </w:p>
    <w:p>
      <w:pPr/>
      <w:r>
        <w:t>核验范围：官方正文检索可见；用于真实性、栏目与记录要求</w:t>
      </w:r>
    </w:p>
    <w:p>
      <w:pPr/>
      <w:r>
        <w:t>来源：https://www.nhc.gov.cn/bgt/s10696/201002/8cd7d4d70f4b42da839d2428dcbf723c.shtml</w:t>
      </w:r>
    </w:p>
    <w:p>
      <w:pPr/>
      <w:r>
        <w:t>核验日期：2026-10-26</w:t>
      </w:r>
    </w:p>
    <w:p>
      <w:pPr>
        <w:spacing w:after="40"/>
      </w:pPr>
    </w:p>
    <w:p>
      <w:pPr/>
      <w:r>
        <w:t>R02 医疗质量安全核心制度要点</w:t>
      </w:r>
    </w:p>
    <w:p>
      <w:pPr/>
      <w:r>
        <w:t>版本：国家卫生健康委，2018</w:t>
      </w:r>
    </w:p>
    <w:p>
      <w:pPr/>
      <w:r>
        <w:t>核验范围：官方通知与制度适用范围检索可见；院内具体时限仍需核对</w:t>
      </w:r>
    </w:p>
    <w:p>
      <w:pPr/>
      <w:r>
        <w:t>来源：https://www.nhc.gov.cn/yzygj/c100068/201804/42ab2552298047679cd6ec733f233862.shtml</w:t>
      </w:r>
    </w:p>
    <w:p>
      <w:pPr/>
      <w:r>
        <w:t>核验日期：2026-10-26</w:t>
      </w:r>
    </w:p>
    <w:p>
      <w:pPr>
        <w:spacing w:after="40"/>
      </w:pPr>
    </w:p>
    <w:p>
      <w:pPr/>
      <w:r>
        <w:t>R03 电子病历应用管理规范 试行</w:t>
      </w:r>
    </w:p>
    <w:p>
      <w:pPr/>
      <w:r>
        <w:t>版本：原国家卫生计生委、国家中医药管理局，2017</w:t>
      </w:r>
    </w:p>
    <w:p>
      <w:pPr/>
      <w:r>
        <w:t>核验范围：官方正文检索可见；权限、修改留痕与医师签名</w:t>
      </w:r>
    </w:p>
    <w:p>
      <w:pPr/>
      <w:r>
        <w:t>来源：https://www.nhc.gov.cn/wjw/c100175/201702/90f3de8ae03d488cbddf509dc958f75b.shtml</w:t>
      </w:r>
    </w:p>
    <w:p>
      <w:pPr/>
      <w:r>
        <w:t>核验日期：2026-10-26</w:t>
      </w:r>
    </w:p>
    <w:p>
      <w:pPr>
        <w:spacing w:after="40"/>
      </w:pPr>
    </w:p>
    <w:p>
      <w:pPr/>
      <w:r>
        <w:t>R04 中国糖尿病防治指南 2024版</w:t>
      </w:r>
    </w:p>
    <w:p>
      <w:pPr/>
      <w:r>
        <w:t>版本：中华医学会糖尿病学分会，2025；DOI 10.3760/cma.j.cn115791-20241203-00705</w:t>
      </w:r>
    </w:p>
    <w:p>
      <w:pPr/>
      <w:r>
        <w:t>核验范围：学会发布、题名及版本已核；全量推荐逐条核验未完成，国内优先来源</w:t>
      </w:r>
    </w:p>
    <w:p>
      <w:pPr/>
      <w:r>
        <w:t>来源：https://diab.cma.org.cn/cn/ncontent.aspx?oid=3042</w:t>
      </w:r>
    </w:p>
    <w:p>
      <w:pPr/>
      <w:r>
        <w:t>核验日期：2026-10-26</w:t>
      </w:r>
    </w:p>
    <w:p>
      <w:pPr>
        <w:spacing w:after="40"/>
      </w:pPr>
    </w:p>
    <w:p>
      <w:pPr/>
      <w:r>
        <w:t>R06 Glycemic Goals Hypoglycemia and Hyperglycemic Crises Standards of Care 2026</w:t>
      </w:r>
    </w:p>
    <w:p>
      <w:pPr/>
      <w:r>
        <w:t>版本：ADA，2026；DOI 10.2337/dc26-s006</w:t>
      </w:r>
    </w:p>
    <w:p>
      <w:pPr/>
      <w:r>
        <w:t>核验范围：原始期刊页面低血糖分级、CGM指标及个体化目标可见；不能套用妊娠或儿童</w:t>
      </w:r>
    </w:p>
    <w:p>
      <w:pPr/>
      <w:r>
        <w:t>来源：https://doi.org/10.2337/dc26-s006</w:t>
      </w:r>
    </w:p>
    <w:p>
      <w:pPr/>
      <w:r>
        <w:t>核验日期：2026-10-26</w:t>
      </w:r>
    </w:p>
    <w:p>
      <w:pPr>
        <w:spacing w:after="40"/>
      </w:pPr>
    </w:p>
    <w:p>
      <w:pPr/>
      <w:r>
        <w:t>R10 Hormone Replacement in Hypopituitarism</w:t>
      </w:r>
    </w:p>
    <w:p>
      <w:pPr/>
      <w:r>
        <w:t>版本：Endocrine Society，2016</w:t>
      </w:r>
    </w:p>
    <w:p>
      <w:pPr/>
      <w:r>
        <w:t>核验范围：原始学会建议节选可见；中枢性甲减需联合FT4和垂体背景，不仅看TSH</w:t>
      </w:r>
    </w:p>
    <w:p>
      <w:pPr/>
      <w:r>
        <w:t>来源：https://www.endocrine.org/clinical-practice-guidelines/hormone-replacement-in-hypopituitarism</w:t>
      </w:r>
    </w:p>
    <w:p>
      <w:pPr/>
      <w:r>
        <w:t>核验日期：2026-10-26</w:t>
      </w:r>
    </w:p>
    <w:p>
      <w:pPr>
        <w:spacing w:after="40"/>
      </w:pPr>
    </w:p>
    <w:p>
      <w:pPr/>
      <w:r>
        <w:t>R14 Revised Treatment of Chronic Hypoparathyroidism in Adults</w:t>
      </w:r>
    </w:p>
    <w:p>
      <w:pPr/>
      <w:r>
        <w:t>版本：ESE，2025；DOI 10.1093/ejendo/lvaf222</w:t>
      </w:r>
    </w:p>
    <w:p>
      <w:pPr/>
      <w:r>
        <w:t>核验范围：学会2025修订版发布及范围核验；治疗目标、PTH替代适应证与国内可及性待逐条核验</w:t>
      </w:r>
    </w:p>
    <w:p>
      <w:pPr/>
      <w:r>
        <w:t>来源：https://www.ese-hormones.org/publications/directory/revised-ese-clinical-guideline-treatment-of-chronic-hypoparathyroidism-in-adults/</w:t>
      </w:r>
    </w:p>
    <w:p>
      <w:pPr/>
      <w:r>
        <w:t>核验日期：2026-10-26</w:t>
      </w:r>
    </w:p>
    <w:sectPr w:rsidR="00FC693F" w:rsidRPr="0006063C" w:rsidSect="00034616">
      <w:headerReference w:type="default" r:id="rId9"/>
      <w:footerReference w:type="default" r:id="rId10"/>
      <w:pgSz w:w="11906" w:h="16838"/>
      <w:pgMar w:top="1077" w:right="1191" w:bottom="1020"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模块 09  第 </w:t>
    </w:r>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内分泌科AI病历书写系统 V1.0  |  模块 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Hiragino Sans GB" w:hAnsi="Hiragino Sans GB" w:eastAsia="Hiragino Sans GB"/>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Hiragino Sans GB" w:hAnsi="Hiragino Sans GB" w:eastAsia="Hiragino Sans GB"/>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Hiragino Sans GB" w:hAnsi="Hiragino Sans GB" w:eastAsia="Hiragino Sans GB"/>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Hiragino Sans GB" w:hAnsi="Hiragino Sans GB" w:eastAsia="Hiragino Sans GB"/>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Hiragino Sans GB" w:hAnsi="Hiragino Sans GB" w:eastAsia="Hiragino Sans GB"/>
      <w:b/>
      <w:color w:val="000000"/>
      <w:spacing w:val="5"/>
      <w:kern w:val="28"/>
      <w:sz w:val="48"/>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Hiragino Sans GB" w:hAnsi="Hiragino Sans GB" w:eastAsia="Hiragino Sans GB"/>
      <w:i w:val="0"/>
      <w:iCs/>
      <w:color w:val="000000"/>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pPr>
      <w:spacing w:after="60" w:line="252" w:lineRule="auto"/>
    </w:pPr>
    <w:rPr>
      <w:rFonts w:ascii="Hiragino Sans GB" w:hAnsi="Hiragino Sans GB" w:eastAsia="Hiragino Sans GB"/>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内分泌科慢病管理患者教育出院及长期随访模板库</dc:title>
  <dc:subject>内分泌科住院病历规则与模板</dc:subject>
  <dc:creator>病历模板库</dc:creator>
  <cp:keywords/>
  <dc:description>虚构病例用于规则级验收；临床使用须责任医师审核。</dc:description>
  <cp:lastModifiedBy/>
  <cp:revision>1</cp:revision>
  <dcterms:created xsi:type="dcterms:W3CDTF">2013-12-23T23:15:00Z</dcterms:created>
  <dcterms:modified xsi:type="dcterms:W3CDTF">2013-12-23T23:15:00Z</dcterms:modified>
  <cp:category/>
</cp:coreProperties>
</file>