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内分泌科AI自动调用路由与病例状态管理规则库</w:t>
      </w:r>
    </w:p>
    <w:p>
      <w:pPr>
        <w:pStyle w:val="Subtitle"/>
      </w:pPr>
      <w:r>
        <w:t>内分泌科AI病历书写系统 V1.0</w:t>
      </w:r>
    </w:p>
    <w:p>
      <w:r>
        <w:t>文件编号 11</w:t>
        <w:br/>
        <w:t>版本 V1.0</w:t>
        <w:br/>
        <w:t>所属层级 第二级 通用功能层</w:t>
        <w:br/>
        <w:t>建设及来源核验日期 2026年10月26日</w:t>
        <w:br/>
        <w:t>适用对象 内分泌科责任医师与病案质控人员</w:t>
      </w:r>
    </w:p>
    <w:p>
      <w:r>
        <w:t>模块职责：内分泌科AI自动调用路由与病例状态管理规则库。本文件提供规则、可填写模板及虚构案例，供医师审核后使用。模板中的待填字段不是患者事实；未完成来源核验与科室审核的条款不作为自动诊疗依据。</w:t>
      </w:r>
    </w:p>
    <w:p>
      <w:pPr>
        <w:pStyle w:val="Heading1"/>
      </w:pPr>
      <w:r>
        <w:t>适用场景与自动调用</w:t>
      </w:r>
    </w:p>
    <w:p>
      <w:r>
        <w:t>当00和11识别到内分泌科AI自动调用路由与病例状态管理规则库对应任务时加载；涉及多问题按最小充分原则联合相关模块。通用流程为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>
        <w:pStyle w:val="Heading1"/>
      </w:pPr>
      <w:r>
        <w:t>目录</w:t>
      </w:r>
    </w:p>
    <w:p>
      <w:pPr/>
      <w:r>
        <w:t>路由与病例状态</w:t>
      </w:r>
    </w:p>
    <w:p>
      <w:pPr/>
      <w:r>
        <w:t>病例状态最小数据结构</w:t>
      </w:r>
    </w:p>
    <w:p>
      <w:pPr/>
      <w:r>
        <w:t>状态转换规则</w:t>
      </w:r>
    </w:p>
    <w:p>
      <w:pPr/>
      <w:r>
        <w:t>按任务选择模块</w:t>
      </w:r>
    </w:p>
    <w:p>
      <w:pPr/>
      <w:r>
        <w:t>状态更新示范</w:t>
      </w:r>
    </w:p>
    <w:p>
      <w:pPr/>
      <w:r>
        <w:t>正式输出约束</w:t>
      </w:r>
    </w:p>
    <w:p>
      <w:pPr/>
      <w:r>
        <w:t>事实边界与禁止事项</w:t>
      </w:r>
    </w:p>
    <w:p>
      <w:pPr/>
      <w:r>
        <w:t>常见错误与质量清单</w:t>
      </w:r>
    </w:p>
    <w:p>
      <w:pPr/>
      <w:r>
        <w:t>模块协同与更新</w:t>
      </w:r>
    </w:p>
    <w:p>
      <w:pPr/>
      <w:r>
        <w:t>参考指南与版本核验</w:t>
      </w:r>
    </w:p>
    <w:p>
      <w:r>
        <w:t>上述为完整主题目录，可通过Word或WPS导航窗格定位。下列域可在支持的编辑器中更新页码。</w:t>
      </w:r>
    </w:p>
    <w:p>
      <w:r/>
      <w:fldSimple w:instr="TOC \o &quot;1-2&quot; \h \z \u"/>
    </w:p>
    <w:p>
      <w:r>
        <w:br w:type="page"/>
      </w:r>
    </w:p>
    <w:p>
      <w:pPr>
        <w:pStyle w:val="Heading1"/>
      </w:pPr>
      <w:r>
        <w:t>路由与病例状态</w:t>
      </w:r>
    </w:p>
    <w:p>
      <w:pPr/>
      <w:r>
        <w:t>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>
        <w:pStyle w:val="Heading1"/>
      </w:pPr>
      <w:r>
        <w:t>病例状态最小数据结构</w:t>
      </w:r>
    </w:p>
    <w:p>
      <w:pPr/>
      <w:r>
        <w:t>病例键：患者稳定标识＋本次住院事件标识；姓名等用于人工复核，床号仅辅助。</w:t>
      </w:r>
    </w:p>
    <w:p>
      <w:pPr/>
      <w:r>
        <w:t>稳定资料：既往病史、家族史、既往确诊；每条有来源与核实日期，允许修正但留痕。</w:t>
      </w:r>
    </w:p>
    <w:p>
      <w:pPr/>
      <w:r>
        <w:t>诊断表：疾病、轴、状态、证据、支持反对信息、作出和修正时间、责任医师。</w:t>
      </w:r>
    </w:p>
    <w:p>
      <w:pPr/>
      <w:r>
        <w:t>血糖表：原始值、类型、时点、餐次、进食、症状、药物和来源；HbA1c C肽抗体、酮体和血气另表。</w:t>
      </w:r>
    </w:p>
    <w:p>
      <w:pPr/>
      <w:r>
        <w:t>激素表：TSH FT4等、ACTH皮质醇、醛固酮肾素、PRL IGF-1、性激素、PTH钙磷等均含采样条件和平台。</w:t>
      </w:r>
    </w:p>
    <w:p>
      <w:pPr/>
      <w:r>
        <w:t>试验表：申请、拟实施、进行、已完成、待结果、已回报、取消；保存方案版本和每份标本归属，不允许仅凭计划推进完成。</w:t>
      </w:r>
    </w:p>
    <w:p>
      <w:pPr/>
      <w:r>
        <w:t>药物表：制剂剂量单位途径频次餐次，开始调整停用恢复时点、计划与执行证据、反应；缺失不继承旧剂量。</w:t>
      </w:r>
    </w:p>
    <w:p>
      <w:pPr/>
      <w:r>
        <w:t>设备表：CGM设备时区周期有效性；泵基础和餐时参数及故障来源，缺项不能反推。</w:t>
      </w:r>
    </w:p>
    <w:p>
      <w:pPr/>
      <w:r>
        <w:t>危急事件表：时点、症状、原值、处置及执行、复测反应、转归和交接。</w:t>
      </w:r>
    </w:p>
    <w:p>
      <w:pPr/>
      <w:r>
        <w:t>出院表：最终诊断与药物、遗留问题、未完成检查、待回结果、复查安排及责任。</w:t>
      </w:r>
    </w:p>
    <w:p>
      <w:pPr/>
      <w:r>
        <w:t>每条公共字段：来源、采样时间、报告时间、获得时间、记录时间、核实状态；更正追加版本，不覆盖原件。</w:t>
      </w:r>
    </w:p>
    <w:p>
      <w:pPr>
        <w:pStyle w:val="Heading1"/>
      </w:pPr>
      <w:r>
        <w:t>状态转换规则</w:t>
      </w:r>
    </w:p>
    <w:p>
      <w:pPr/>
      <w:r>
        <w:t>新资料先验身份与住院，后校时间、单位和原文，再追加事件。已申请不等于已实施，采样完成不等于结果回报，医嘱下达不等于执行。患者或住院切换清空动态状态，从该次证据重建。无当前状态文件或对话资料就明确缺失，不宣称记得上次住院方案。</w:t>
      </w:r>
    </w:p>
    <w:p>
      <w:pPr>
        <w:pStyle w:val="Heading1"/>
      </w:pPr>
      <w:r>
        <w:t>按任务选择模块</w:t>
      </w:r>
    </w:p>
    <w:p>
      <w:pPr/>
      <w:r>
        <w:t>所有任务先00 01 11，最后10。入院首次02 03；结果04；试验05并联合04；急变06并配04 07；药物07；三级查房08加02；出院09加02。糖代谢101或102，甲状腺103，垂体104，肾上腺105，骨钙磷106，肥胖脂尿酸107，性腺肿瘤遗传108。多病仅加有关模块；分型不明101 102并行，急症06主导。</w:t>
      </w:r>
    </w:p>
    <w:p>
      <w:pPr>
        <w:pStyle w:val="Heading1"/>
      </w:pPr>
      <w:r>
        <w:t>状态更新示范</w:t>
      </w:r>
    </w:p>
    <w:p>
      <w:pPr/>
      <w:r>
        <w:t>虚构SIM-11：09:00主任确认拟调整胰岛素，10:00医嘱已下达，21:00执行单证实给药，次晨血糖回报。四条事件独立追加，09:00病程只能写计划，不能引用21:00执行或次晨疗效；回顾性阶段小结可按真实时点叙述。</w:t>
      </w:r>
    </w:p>
    <w:p>
      <w:pPr>
        <w:pStyle w:val="Heading1"/>
      </w:pPr>
      <w:r>
        <w:t>正式输出约束</w:t>
      </w:r>
    </w:p>
    <w:p>
      <w:pPr/>
      <w:r>
        <w:t>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事实边界与禁止事项</w:t>
      </w:r>
    </w:p>
    <w:p>
      <w:pPr/>
      <w:r>
        <w:t>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禁止把筛查升格为确诊、影像等同功能、建议当执行、不同方法直接比较。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常见错误与质量清单</w:t>
      </w:r>
    </w:p>
    <w:p>
      <w:pPr/>
      <w:r>
        <w:t>输出前逐项检查身份和住院事件、记录与事件时点、数值单位和参考范围、激素节律体位和用药、诊断确定度、医嘱状态、真实医师意见、待回结果和复诊责任。任何关键冲突阻断相关结论；一般缺失在正文外列补充项，不能补写“正常”。</w:t>
      </w:r>
    </w:p>
    <w:p>
      <w:pPr>
        <w:pStyle w:val="Heading1"/>
      </w:pPr>
      <w:r>
        <w:t>模块协同与更新</w:t>
      </w:r>
    </w:p>
    <w:p>
      <w:pPr/>
      <w:r>
        <w:t>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/>
      <w:r>
        <w:t>本库为可供AI读取的规则与Word模板，未部署电子病历接口、自动医嘱、患者数据库或跨会话记忆。科室负责人、相关亚专科与病案质控共同审校后进行院内试用；至少季度及重要指南、药品说明书、院内制度变化时复核。更新记录版本、来源、适用人群、阈值和影响模块，重跑10内相关病例。未核到全文或条款者标记待核验，不输出为已核验阈值。</w:t>
      </w:r>
    </w:p>
    <w:p>
      <w:pPr>
        <w:pStyle w:val="Heading1"/>
      </w:pPr>
      <w:r>
        <w:t>参考指南与版本核验</w:t>
      </w:r>
    </w:p>
    <w:p>
      <w:pPr/>
      <w:r>
        <w:t>R01 病历书写基本规范</w:t>
      </w:r>
    </w:p>
    <w:p>
      <w:pPr/>
      <w:r>
        <w:t>版本：原卫生部，2010，卫医政发〔2010〕11号</w:t>
      </w:r>
    </w:p>
    <w:p>
      <w:pPr/>
      <w:r>
        <w:t>核验范围：官方正文检索可见；用于真实性、栏目与记录要求</w:t>
      </w:r>
    </w:p>
    <w:p>
      <w:pPr/>
      <w:r>
        <w:t>来源：https://www.nhc.gov.cn/bgt/s10696/201002/8cd7d4d70f4b42da839d2428dcbf723c.shtml</w:t>
      </w:r>
    </w:p>
    <w:p>
      <w:pPr/>
      <w:r>
        <w:t>核验日期：2026-10-26</w:t>
      </w:r>
    </w:p>
    <w:p>
      <w:pPr>
        <w:spacing w:after="40"/>
      </w:pPr>
    </w:p>
    <w:p>
      <w:pPr/>
      <w:r>
        <w:t>R02 医疗质量安全核心制度要点</w:t>
      </w:r>
    </w:p>
    <w:p>
      <w:pPr/>
      <w:r>
        <w:t>版本：国家卫生健康委，2018</w:t>
      </w:r>
    </w:p>
    <w:p>
      <w:pPr/>
      <w:r>
        <w:t>核验范围：官方通知与制度适用范围检索可见；院内具体时限仍需核对</w:t>
      </w:r>
    </w:p>
    <w:p>
      <w:pPr/>
      <w:r>
        <w:t>来源：https://www.nhc.gov.cn/yzygj/c100068/201804/42ab2552298047679cd6ec733f233862.shtml</w:t>
      </w:r>
    </w:p>
    <w:p>
      <w:pPr/>
      <w:r>
        <w:t>核验日期：2026-10-26</w:t>
      </w:r>
    </w:p>
    <w:p>
      <w:pPr>
        <w:spacing w:after="40"/>
      </w:pPr>
    </w:p>
    <w:p>
      <w:pPr/>
      <w:r>
        <w:t>R03 电子病历应用管理规范 试行</w:t>
      </w:r>
    </w:p>
    <w:p>
      <w:pPr/>
      <w:r>
        <w:t>版本：原国家卫生计生委、国家中医药管理局，2017</w:t>
      </w:r>
    </w:p>
    <w:p>
      <w:pPr/>
      <w:r>
        <w:t>核验范围：官方正文检索可见；权限、修改留痕与医师签名</w:t>
      </w:r>
    </w:p>
    <w:p>
      <w:pPr/>
      <w:r>
        <w:t>来源：https://www.nhc.gov.cn/wjw/c100175/201702/90f3de8ae03d488cbddf509dc958f75b.shtml</w:t>
      </w:r>
    </w:p>
    <w:p>
      <w:pPr/>
      <w:r>
        <w:t>核验日期：2026-10-26</w:t>
      </w:r>
    </w:p>
    <w:p>
      <w:pPr>
        <w:spacing w:after="40"/>
      </w:pPr>
    </w:p>
    <w:p>
      <w:pPr/>
      <w:r>
        <w:t>R04 中国糖尿病防治指南 2024版</w:t>
      </w:r>
    </w:p>
    <w:p>
      <w:pPr/>
      <w:r>
        <w:t>版本：中华医学会糖尿病学分会，2025；DOI 10.3760/cma.j.cn115791-20241203-00705</w:t>
      </w:r>
    </w:p>
    <w:p>
      <w:pPr/>
      <w:r>
        <w:t>核验范围：学会发布、题名及版本已核；全量推荐逐条核验未完成，国内优先来源</w:t>
      </w:r>
    </w:p>
    <w:p>
      <w:pPr/>
      <w:r>
        <w:t>来源：https://diab.cma.org.cn/cn/ncontent.aspx?oid=3042</w:t>
      </w:r>
    </w:p>
    <w:p>
      <w:pPr/>
      <w:r>
        <w:t>核验日期：2026-10-26</w:t>
      </w:r>
    </w:p>
    <w:p>
      <w:pPr>
        <w:spacing w:after="40"/>
      </w:pPr>
    </w:p>
    <w:p>
      <w:pPr/>
      <w:r>
        <w:t>R05 Diagnosis and Classification of Diabetes Standards of Care 2026</w:t>
      </w:r>
    </w:p>
    <w:p>
      <w:pPr/>
      <w:r>
        <w:t>版本：ADA，2026；DOI 10.2337/dc26-s002</w:t>
      </w:r>
    </w:p>
    <w:p>
      <w:pPr/>
      <w:r>
        <w:t>核验范围：原始期刊页面诊断与确认检测条款可见；非妊娠人群</w:t>
      </w:r>
    </w:p>
    <w:p>
      <w:pPr/>
      <w:r>
        <w:t>来源：https://doi.org/10.2337/dc26-s002</w:t>
      </w:r>
    </w:p>
    <w:p>
      <w:pPr/>
      <w:r>
        <w:t>核验日期：2026-10-26</w:t>
      </w:r>
    </w:p>
    <w:p>
      <w:pPr>
        <w:spacing w:after="40"/>
      </w:pPr>
    </w:p>
    <w:p>
      <w:pPr/>
      <w:r>
        <w:t>R06 Glycemic Goals Hypoglycemia and Hyperglycemic Crises Standards of Care 2026</w:t>
      </w:r>
    </w:p>
    <w:p>
      <w:pPr/>
      <w:r>
        <w:t>版本：ADA，2026；DOI 10.2337/dc26-s006</w:t>
      </w:r>
    </w:p>
    <w:p>
      <w:pPr/>
      <w:r>
        <w:t>核验范围：原始期刊页面低血糖分级、CGM指标及个体化目标可见；不能套用妊娠或儿童</w:t>
      </w:r>
    </w:p>
    <w:p>
      <w:pPr/>
      <w:r>
        <w:t>来源：https://doi.org/10.2337/dc26-s006</w:t>
      </w:r>
    </w:p>
    <w:p>
      <w:pPr/>
      <w:r>
        <w:t>核验日期：2026-10-26</w:t>
      </w:r>
    </w:p>
    <w:p>
      <w:pPr>
        <w:spacing w:after="40"/>
      </w:pPr>
    </w:p>
    <w:p>
      <w:pPr/>
      <w:r>
        <w:t>R07 Hyperglycemic Crises in Adults With Diabetes A Consensus Report</w:t>
      </w:r>
    </w:p>
    <w:p>
      <w:pPr/>
      <w:r>
        <w:t>版本：ADA等，2024；DOI 10.2337/dci24-0032</w:t>
      </w:r>
    </w:p>
    <w:p>
      <w:pPr/>
      <w:r>
        <w:t>核验范围：原始期刊范围和多维诊断路径已核；具体处置剂量与完整阈值未逐条核验，不内置自动方案</w:t>
      </w:r>
    </w:p>
    <w:p>
      <w:pPr/>
      <w:r>
        <w:t>来源：https://diabetesjournals.org/care/article/47/8/1257/156811/Hyperglycemic-Crises-in-Adults-With-Diabetes-A</w:t>
      </w:r>
    </w:p>
    <w:p>
      <w:pPr/>
      <w:r>
        <w:t>核验日期：2026-10-26</w:t>
      </w:r>
    </w:p>
    <w:p>
      <w:pPr>
        <w:spacing w:after="40"/>
      </w:pPr>
    </w:p>
    <w:p>
      <w:pPr/>
      <w:r>
        <w:t>R08 中国1型糖尿病诊治指南 2021版及糖尿病并发症指南</w:t>
      </w:r>
    </w:p>
    <w:p>
      <w:pPr/>
      <w:r>
        <w:t>版本：中华医学会糖尿病学分会指南目录，检索2026-10-26</w:t>
      </w:r>
    </w:p>
    <w:p>
      <w:pPr/>
      <w:r>
        <w:t>核验范围：目录核验：2021年1型、2021年肾脏病、2024年基层神经病变、2023年基层肾脏病；全文条款待核验</w:t>
      </w:r>
    </w:p>
    <w:p>
      <w:pPr/>
      <w:r>
        <w:t>来源：https://diab.cma.org.cn/cn/zhinangongshi.aspx</w:t>
      </w:r>
    </w:p>
    <w:p>
      <w:pPr/>
      <w:r>
        <w:t>核验日期：2026-10-26</w:t>
      </w:r>
    </w:p>
    <w:p>
      <w:pPr>
        <w:spacing w:after="40"/>
      </w:pPr>
    </w:p>
    <w:p>
      <w:pPr/>
      <w:r>
        <w:t>R09 甲状腺疾病指南与声明目录</w:t>
      </w:r>
    </w:p>
    <w:p>
      <w:pPr/>
      <w:r>
        <w:t>版本：ATA；甲亢2016、甲减2014、结节2015及后续肿瘤更新分别管理</w:t>
      </w:r>
    </w:p>
    <w:p>
      <w:pPr/>
      <w:r>
        <w:t>核验范围：学会目录核验；甲亢中国2022原指南另见R20，甲减及结节国内现行全文和妊娠专门版本仍待核验；不同病种不能混用版本</w:t>
      </w:r>
    </w:p>
    <w:p>
      <w:pPr/>
      <w:r>
        <w:t>来源：https://www.thyroid.org/professionals/ata-professional-guidelines/</w:t>
      </w:r>
    </w:p>
    <w:p>
      <w:pPr/>
      <w:r>
        <w:t>核验日期：2026-10-26</w:t>
      </w:r>
    </w:p>
    <w:p>
      <w:pPr>
        <w:spacing w:after="40"/>
      </w:pPr>
    </w:p>
    <w:p>
      <w:pPr/>
      <w:r>
        <w:t>R10 Hormone Replacement in Hypopituitarism</w:t>
      </w:r>
    </w:p>
    <w:p>
      <w:pPr/>
      <w:r>
        <w:t>版本：Endocrine Society，2016</w:t>
      </w:r>
    </w:p>
    <w:p>
      <w:pPr/>
      <w:r>
        <w:t>核验范围：原始学会建议节选可见；中枢性甲减需联合FT4和垂体背景，不仅看TSH</w:t>
      </w:r>
    </w:p>
    <w:p>
      <w:pPr/>
      <w:r>
        <w:t>来源：https://www.endocrine.org/clinical-practice-guidelines/hormone-replacement-in-hypopituitarism</w:t>
      </w:r>
    </w:p>
    <w:p>
      <w:pPr/>
      <w:r>
        <w:t>核验日期：2026-10-26</w:t>
      </w:r>
    </w:p>
    <w:p>
      <w:pPr>
        <w:spacing w:after="40"/>
      </w:pPr>
    </w:p>
    <w:p>
      <w:pPr/>
      <w:r>
        <w:t>R12 Primary Aldosteronism Clinical Practice Guideline</w:t>
      </w:r>
    </w:p>
    <w:p>
      <w:pPr/>
      <w:r>
        <w:t>版本：Endocrine Society，2025；JCEM 110 2453–2495；DOI 10.1210/clinem/dgaf284</w:t>
      </w:r>
    </w:p>
    <w:p>
      <w:pPr/>
      <w:r>
        <w:t>核验范围：原始期刊题录及2025版本核验；筛查确证豁免、ARR阈值与药物停换条款待核，不按旧版硬编码</w:t>
      </w:r>
    </w:p>
    <w:p>
      <w:pPr/>
      <w:r>
        <w:t>来源：https://academic.oup.com/jcem/article/110/9/2453/8196671</w:t>
      </w:r>
    </w:p>
    <w:p>
      <w:pPr/>
      <w:r>
        <w:t>核验日期：2026-10-26</w:t>
      </w:r>
    </w:p>
    <w:p>
      <w:pPr>
        <w:spacing w:after="40"/>
      </w:pPr>
    </w:p>
    <w:p>
      <w:pPr/>
      <w:r>
        <w:t>R14 Revised Treatment of Chronic Hypoparathyroidism in Adults</w:t>
      </w:r>
    </w:p>
    <w:p>
      <w:pPr/>
      <w:r>
        <w:t>版本：ESE，2025；DOI 10.1093/ejendo/lvaf222</w:t>
      </w:r>
    </w:p>
    <w:p>
      <w:pPr/>
      <w:r>
        <w:t>核验范围：学会2025修订版发布及范围核验；治疗目标、PTH替代适应证与国内可及性待逐条核验</w:t>
      </w:r>
    </w:p>
    <w:p>
      <w:pPr/>
      <w:r>
        <w:t>来源：https://www.ese-hormones.org/publications/directory/revised-ese-clinical-guideline-treatment-of-chronic-hypoparathyroidism-in-adults/</w:t>
      </w:r>
    </w:p>
    <w:p>
      <w:pPr/>
      <w:r>
        <w:t>核验日期：2026-10-26</w:t>
      </w:r>
    </w:p>
    <w:p>
      <w:pPr>
        <w:spacing w:after="40"/>
      </w:pPr>
    </w:p>
    <w:p>
      <w:pPr/>
      <w:r>
        <w:t>R16 肥胖症诊疗指南 2024年版</w:t>
      </w:r>
    </w:p>
    <w:p>
      <w:pPr/>
      <w:r>
        <w:t>版本：国家卫生健康委，2024</w:t>
      </w:r>
    </w:p>
    <w:p>
      <w:pPr/>
      <w:r>
        <w:t>核验范围：官方PDF及诊断评估治疗范围核验；药物批准适应证与新增药品须查现行说明书</w:t>
      </w:r>
    </w:p>
    <w:p>
      <w:pPr/>
      <w:r>
        <w:t>来源：https://www.nhc.gov.cn/cms-search/downFiles/c171fa2416864a21b69278fd04a33f21.pdf</w:t>
      </w:r>
    </w:p>
    <w:p>
      <w:pPr/>
      <w:r>
        <w:t>核验日期：2026-10-26</w:t>
      </w:r>
    </w:p>
    <w:p>
      <w:pPr>
        <w:spacing w:after="40"/>
      </w:pPr>
    </w:p>
    <w:p>
      <w:pPr/>
      <w:r>
        <w:t>R18 International Evidence Based Guideline for PCOS</w:t>
      </w:r>
    </w:p>
    <w:p>
      <w:pPr/>
      <w:r>
        <w:t>版本：Monash及合作学会，2023</w:t>
      </w:r>
    </w:p>
    <w:p>
      <w:pPr/>
      <w:r>
        <w:t>核验范围：原始指南PDF题录与版本核验；成人与青少年标准、AMH适用条件及生殖治疗条款待核</w:t>
      </w:r>
    </w:p>
    <w:p>
      <w:pPr/>
      <w:r>
        <w:t>来源：https://www.monash.edu/__data/assets/pdf_file/0003/3379521/Evidence-Based-Guidelines-2023.pdf</w:t>
      </w:r>
    </w:p>
    <w:p>
      <w:pPr/>
      <w:r>
        <w:t>核验日期：2026-10-26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模块 11  第 </w:t>
    </w:r>
    <w:r/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内分泌科AI病历书写系统 V1.0  |  模块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after="60" w:line="252" w:lineRule="auto"/>
    </w:pPr>
    <w:rPr>
      <w:rFonts w:ascii="Hiragino Sans GB" w:hAnsi="Hiragino Sans GB" w:eastAsia="Hiragino Sans G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内分泌科AI自动调用路由与病例状态管理规则库</dc:title>
  <dc:subject>内分泌科住院病历规则与模板</dc:subject>
  <dc:creator>病历模板库</dc:creator>
  <cp:keywords/>
  <dc:description>虚构病例用于规则级验收；临床使用须责任医师审核。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