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消化内科AI病历系统总入口与模块调用索引</w:t>
      </w:r>
    </w:p>
    <w:p>
      <w:pPr>
        <w:pStyle w:val="Subtitle"/>
      </w:pPr>
      <w:r>
        <w:t>消化内科含胃肠镜AI病历书写系统 V1.0</w:t>
      </w:r>
    </w:p>
    <w:p>
      <w:r>
        <w:t>模块编号 00　版本 V1.0　所属层级 第一级 系统最高规则层</w:t>
      </w:r>
    </w:p>
    <w:p>
      <w:r>
        <w:t>建设及资料核验日期 2026年10月26日</w:t>
      </w:r>
    </w:p>
    <w:p>
      <w:r>
        <w:t>功能定位 唯一入口和20模块索引</w:t>
      </w:r>
    </w:p>
    <w:p>
      <w:r>
        <w:t>适用范围 中国医院消化内科病房 消化内镜中心及相关协作诊疗的医师文书辅助</w:t>
      </w:r>
    </w:p>
    <w:p>
      <w:r>
        <w:t>本文件提供拟稿、证据整理和质控规则。临床诊疗、内镜操作、麻醉、处方、知情同意及签名由具备权限的医务人员实施。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1">
        <w:r>
          <w:t>01  运行入口及适用边界</w:t>
        </w:r>
      </w:hyperlink>
    </w:p>
    <w:p>
      <w:hyperlink w:anchor="s2">
        <w:r>
          <w:t>02  三级结构及20模块索引</w:t>
        </w:r>
      </w:hyperlink>
    </w:p>
    <w:p>
      <w:hyperlink w:anchor="s3">
        <w:r>
          <w:t>03  加载顺序和优先级</w:t>
        </w:r>
      </w:hyperlink>
    </w:p>
    <w:p>
      <w:hyperlink w:anchor="s4">
        <w:r>
          <w:t>04  任务识别与最小充分路由</w:t>
        </w:r>
      </w:hyperlink>
    </w:p>
    <w:p>
      <w:hyperlink w:anchor="s5">
        <w:r>
          <w:t>05  入口状态核对及失败处理</w:t>
        </w:r>
      </w:hyperlink>
    </w:p>
    <w:p>
      <w:hyperlink w:anchor="s6">
        <w:r>
          <w:t>06  正式文书输出完整协议</w:t>
        </w:r>
      </w:hyperlink>
    </w:p>
    <w:p>
      <w:hyperlink w:anchor="s7">
        <w:r>
          <w:t>07  系统使用输入及运行示范</w:t>
        </w:r>
      </w:hyperlink>
    </w:p>
    <w:p>
      <w:hyperlink w:anchor="s8">
        <w:r>
          <w:t>08  原系统参考与实际迁移</w:t>
        </w:r>
      </w:hyperlink>
    </w:p>
    <w:p>
      <w:hyperlink w:anchor="s9">
        <w:r>
          <w:t>09  事实限制 常见错误及质控</w:t>
        </w:r>
      </w:hyperlink>
    </w:p>
    <w:p>
      <w:hyperlink w:anchor="s10">
        <w:r>
          <w:t>10  协同与维护</w:t>
        </w:r>
      </w:hyperlink>
    </w:p>
    <w:p>
      <w:hyperlink w:anchor="s11">
        <w:r>
          <w:t>11  指南版本和适用章节</w:t>
        </w:r>
      </w:hyperlink>
    </w:p>
    <w:p>
      <w:hyperlink w:anchor="s12">
        <w:r>
          <w:t>12  逐条来源核验登记</w:t>
        </w:r>
      </w:hyperlink>
    </w:p>
    <w:p/>
    <w:p>
      <w:bookmarkStart w:id="1" w:name="s1"/>
      <w:pPr>
        <w:pStyle w:val="Heading1"/>
      </w:pPr>
      <w:r>
        <w:t>运行入口及适用边界</w:t>
      </w:r>
      <w:bookmarkEnd w:id="1"/>
    </w:p>
    <w:p>
      <w:pPr>
        <w:widowControl/>
      </w:pPr>
      <w:r>
        <w:t>本系统辅助消化内科住院全周期记录，核心任务包括胃肠肝胆胰诊疗、常规与治疗性内镜、检查病理分析、三级查房和最终质控。00负责识别自然语言请求并指向所需模块，不能以病名关键词代替患者和操作事件识别。Word规则库由使用中的AI读取执行；本次交付未部署电子病历接口、后台服务、自动签名或跨会话患者数据库。</w:t>
      </w:r>
    </w:p>
    <w:p>
      <w:pPr>
        <w:widowControl/>
      </w:pPr>
      <w:r>
        <w:t>自动调用条件：任何新消化内科任务或本系统初始化。至少接收患者双标识、本次住院标识、文书时点与类型、当前新增事实和来源。仅提供匿名资料可使用稳定化名及匿名患者编码，保持本次输入前后一致；不能把示例身份当作患者。</w:t>
      </w:r>
    </w:p>
    <w:p>
      <w:bookmarkStart w:id="2" w:name="s2"/>
      <w:pPr>
        <w:pStyle w:val="Heading1"/>
      </w:pPr>
      <w:r>
        <w:t>三级结构及20模块索引</w:t>
      </w:r>
      <w:bookmarkEnd w:id="2"/>
    </w:p>
    <w:p>
      <w:pPr>
        <w:widowControl/>
      </w:pPr>
      <w:r>
        <w:t>第一级00、01两份；第二级02—11十份；第三级101—108八份。总计20个模块文件夹，每个文件夹一份同名Word。编号10、11仍在通用功能层。</w:t>
      </w:r>
    </w:p>
    <w:p>
      <w:pPr>
        <w:pStyle w:val="Heading2"/>
      </w:pPr>
      <w:r>
        <w:t>00 消化内科AI病历系统总入口与模块调用索引</w:t>
      </w:r>
    </w:p>
    <w:p>
      <w:pPr>
        <w:widowControl/>
      </w:pPr>
      <w:r>
        <w:t>职责：唯一入口和20模块索引。</w:t>
      </w:r>
    </w:p>
    <w:p>
      <w:pPr>
        <w:widowControl/>
      </w:pPr>
      <w:r>
        <w:t>相对路径：00_消化内科AI病历系统总入口与模块调用索引/00_消化内科AI病历系统总入口与模块调用索引.docx</w:t>
      </w:r>
    </w:p>
    <w:p>
      <w:pPr>
        <w:pStyle w:val="Heading2"/>
      </w:pPr>
      <w:r>
        <w:t>01 消化内科病历书写助手最高执行指令</w:t>
      </w:r>
    </w:p>
    <w:p>
      <w:pPr>
        <w:widowControl/>
      </w:pPr>
      <w:r>
        <w:t>职责：最高真实性和格式规则。</w:t>
      </w:r>
    </w:p>
    <w:p>
      <w:pPr>
        <w:widowControl/>
      </w:pPr>
      <w:r>
        <w:t>相对路径：01_消化内科病历书写助手最高执行指令/01_消化内科病历书写助手最高执行指令.docx</w:t>
      </w:r>
    </w:p>
    <w:p>
      <w:pPr>
        <w:pStyle w:val="Heading2"/>
      </w:pPr>
      <w:r>
        <w:t>02 消化内科基础医学文书与通用病程模板库</w:t>
      </w:r>
    </w:p>
    <w:p>
      <w:pPr>
        <w:widowControl/>
      </w:pPr>
      <w:r>
        <w:t>职责：36类基础文书与病程骨架。</w:t>
      </w:r>
    </w:p>
    <w:p>
      <w:pPr>
        <w:widowControl/>
      </w:pPr>
      <w:r>
        <w:t>相对路径：02_消化内科基础医学文书与通用病程模板库/02_消化内科基础医学文书与通用病程模板库.docx</w:t>
      </w:r>
    </w:p>
    <w:p>
      <w:pPr>
        <w:pStyle w:val="Heading2"/>
      </w:pPr>
      <w:r>
        <w:t>03 消化系统专科查体症状评估与疾病分型模板库</w:t>
      </w:r>
    </w:p>
    <w:p>
      <w:pPr>
        <w:widowControl/>
      </w:pPr>
      <w:r>
        <w:t>职责：实查 症状和评分变量。</w:t>
      </w:r>
    </w:p>
    <w:p>
      <w:pPr>
        <w:widowControl/>
      </w:pPr>
      <w:r>
        <w:t>相对路径：03_消化系统专科查体症状评估与疾病分型模板库/03_消化系统专科查体症状评估与疾病分型模板库.docx</w:t>
      </w:r>
    </w:p>
    <w:p>
      <w:pPr>
        <w:pStyle w:val="Heading2"/>
      </w:pPr>
      <w:r>
        <w:t>04 消化内科检验影像胃肠镜病理及特殊检查结果分析模板库</w:t>
      </w:r>
    </w:p>
    <w:p>
      <w:pPr>
        <w:widowControl/>
      </w:pPr>
      <w:r>
        <w:t>职责：报告原文与临床分析及病灶病理映射。</w:t>
      </w:r>
    </w:p>
    <w:p>
      <w:pPr>
        <w:widowControl/>
      </w:pPr>
      <w:r>
        <w:t>相对路径：04_消化内科检验影像胃肠镜病理及特殊检查结果分析模板库/04_消化内科检验影像胃肠镜病理及特殊检查结果分析模板库.docx</w:t>
      </w:r>
    </w:p>
    <w:p>
      <w:pPr>
        <w:pStyle w:val="Heading2"/>
      </w:pPr>
      <w:r>
        <w:t>05 胃肠镜及消化内镜诊疗操作与围操作期医学文书模板库</w:t>
      </w:r>
    </w:p>
    <w:p>
      <w:pPr>
        <w:widowControl/>
      </w:pPr>
      <w:r>
        <w:t>职责：33类内镜任务及操作前中后文书。</w:t>
      </w:r>
    </w:p>
    <w:p>
      <w:pPr>
        <w:widowControl/>
      </w:pPr>
      <w:r>
        <w:t>相对路径：05_胃肠镜及消化内镜诊疗操作与围操作期医学文书模板库/05_胃肠镜及消化内镜诊疗操作与围操作期医学文书模板库.docx</w:t>
      </w:r>
    </w:p>
    <w:p>
      <w:pPr>
        <w:pStyle w:val="Heading2"/>
      </w:pPr>
      <w:r>
        <w:t>06 消化内科急危重症内镜并发症及异常病情模板库</w:t>
      </w:r>
    </w:p>
    <w:p>
      <w:pPr>
        <w:widowControl/>
      </w:pPr>
      <w:r>
        <w:t>职责：35类急变 并发症和抢救闭环。</w:t>
      </w:r>
    </w:p>
    <w:p>
      <w:pPr>
        <w:widowControl/>
      </w:pPr>
      <w:r>
        <w:t>相对路径：06_消化内科急危重症内镜并发症及异常病情模板库/06_消化内科急危重症内镜并发症及异常病情模板库.docx</w:t>
      </w:r>
    </w:p>
    <w:p>
      <w:pPr>
        <w:pStyle w:val="Heading2"/>
      </w:pPr>
      <w:r>
        <w:t>07 消化内科治疗决策用药营养支持及医嘱表达规则库</w:t>
      </w:r>
    </w:p>
    <w:p>
      <w:pPr>
        <w:widowControl/>
      </w:pPr>
      <w:r>
        <w:t>职责：治疗状态 用药和营养医嘱。</w:t>
      </w:r>
    </w:p>
    <w:p>
      <w:pPr>
        <w:widowControl/>
      </w:pPr>
      <w:r>
        <w:t>相对路径：07_消化内科治疗决策用药营养支持及医嘱表达规则库/07_消化内科治疗决策用药营养支持及医嘱表达规则库.docx</w:t>
      </w:r>
    </w:p>
    <w:p>
      <w:pPr>
        <w:pStyle w:val="Heading2"/>
      </w:pPr>
      <w:r>
        <w:t>08 消化内科三级医师查房决策与层级表达模板库</w:t>
      </w:r>
    </w:p>
    <w:p>
      <w:pPr>
        <w:widowControl/>
      </w:pPr>
      <w:r>
        <w:t>职责：20场景三级查房决策差异。</w:t>
      </w:r>
    </w:p>
    <w:p>
      <w:pPr>
        <w:widowControl/>
      </w:pPr>
      <w:r>
        <w:t>相对路径：08_消化内科三级医师查房决策与层级表达模板库/08_消化内科三级医师查房决策与层级表达模板库.docx</w:t>
      </w:r>
    </w:p>
    <w:p>
      <w:pPr>
        <w:pStyle w:val="Heading2"/>
      </w:pPr>
      <w:r>
        <w:t>09 消化系统慢病管理营养康复及出院随访模板库</w:t>
      </w:r>
    </w:p>
    <w:p>
      <w:pPr>
        <w:widowControl/>
      </w:pPr>
      <w:r>
        <w:t>职责：22项出院和长期随访。</w:t>
      </w:r>
    </w:p>
    <w:p>
      <w:pPr>
        <w:widowControl/>
      </w:pPr>
      <w:r>
        <w:t>相对路径：09_消化系统慢病管理营养康复及出院随访模板库/09_消化系统慢病管理营养康复及出院随访模板库.docx</w:t>
      </w:r>
    </w:p>
    <w:p>
      <w:pPr>
        <w:pStyle w:val="Heading2"/>
      </w:pPr>
      <w:r>
        <w:t>10 消化内科病历最终质控诊断修正及时间轴一致性审查库</w:t>
      </w:r>
    </w:p>
    <w:p>
      <w:pPr>
        <w:widowControl/>
      </w:pPr>
      <w:r>
        <w:t>职责：40项质控与40组模拟验收。</w:t>
      </w:r>
    </w:p>
    <w:p>
      <w:pPr>
        <w:widowControl/>
      </w:pPr>
      <w:r>
        <w:t>相对路径：10_消化内科病历最终质控诊断修正及时间轴一致性审查库/10_消化内科病历最终质控诊断修正及时间轴一致性审查库.docx</w:t>
      </w:r>
    </w:p>
    <w:p>
      <w:pPr>
        <w:pStyle w:val="Heading2"/>
      </w:pPr>
      <w:r>
        <w:t>11 消化内科AI自动调用路由与病例状态管理规则库</w:t>
      </w:r>
    </w:p>
    <w:p>
      <w:pPr>
        <w:widowControl/>
      </w:pPr>
      <w:r>
        <w:t>职责：患者 住院 内镜 病灶 标本状态及最小路由。</w:t>
      </w:r>
    </w:p>
    <w:p>
      <w:pPr>
        <w:widowControl/>
      </w:pPr>
      <w:r>
        <w:t>相对路径：11_消化内科AI自动调用路由与病例状态管理规则库/11_消化内科AI自动调用路由与病例状态管理规则库.docx</w:t>
      </w:r>
    </w:p>
    <w:p>
      <w:pPr>
        <w:pStyle w:val="Heading2"/>
      </w:pPr>
      <w:r>
        <w:t>101 食管疾病胃食管反流与食管功能障碍专病模板库</w:t>
      </w:r>
    </w:p>
    <w:p>
      <w:pPr>
        <w:widowControl/>
      </w:pPr>
      <w:r>
        <w:t>职责：食管反流 结构和动力障碍。</w:t>
      </w:r>
    </w:p>
    <w:p>
      <w:pPr>
        <w:widowControl/>
      </w:pPr>
      <w:r>
        <w:t>相对路径：101_食管疾病胃食管反流与食管功能障碍专病模板库/101_食管疾病胃食管反流与食管功能障碍专病模板库.docx</w:t>
      </w:r>
    </w:p>
    <w:p>
      <w:pPr>
        <w:pStyle w:val="Heading2"/>
      </w:pPr>
      <w:r>
        <w:t>102 胃十二指肠疾病消化性溃疡及幽门螺杆菌专病模板库</w:t>
      </w:r>
    </w:p>
    <w:p>
      <w:pPr>
        <w:widowControl/>
      </w:pPr>
      <w:r>
        <w:t>职责：胃十二指肠 溃疡和Hp。</w:t>
      </w:r>
    </w:p>
    <w:p>
      <w:pPr>
        <w:widowControl/>
      </w:pPr>
      <w:r>
        <w:t>相对路径：102_胃十二指肠疾病消化性溃疡及幽门螺杆菌专病模板库/102_胃十二指肠疾病消化性溃疡及幽门螺杆菌专病模板库.docx</w:t>
      </w:r>
    </w:p>
    <w:p>
      <w:pPr>
        <w:pStyle w:val="Heading2"/>
      </w:pPr>
      <w:r>
        <w:t>103 小肠结肠疾病肠道感染及胃肠功能性疾病模板库</w:t>
      </w:r>
    </w:p>
    <w:p>
      <w:pPr>
        <w:widowControl/>
      </w:pPr>
      <w:r>
        <w:t>职责：小肠结肠 感染和功能性疾病。</w:t>
      </w:r>
    </w:p>
    <w:p>
      <w:pPr>
        <w:widowControl/>
      </w:pPr>
      <w:r>
        <w:t>相对路径：103_小肠结肠疾病肠道感染及胃肠功能性疾病模板库/103_小肠结肠疾病肠道感染及胃肠功能性疾病模板库.docx</w:t>
      </w:r>
    </w:p>
    <w:p>
      <w:pPr>
        <w:pStyle w:val="Heading2"/>
      </w:pPr>
      <w:r>
        <w:t>104 炎症性肠病及慢性肠道炎症专病模板库</w:t>
      </w:r>
    </w:p>
    <w:p>
      <w:pPr>
        <w:widowControl/>
      </w:pPr>
      <w:r>
        <w:t>职责：UC CD及高级治疗监测。</w:t>
      </w:r>
    </w:p>
    <w:p>
      <w:pPr>
        <w:widowControl/>
      </w:pPr>
      <w:r>
        <w:t>相对路径：104_炎症性肠病及慢性肠道炎症专病模板库/104_炎症性肠病及慢性肠道炎症专病模板库.docx</w:t>
      </w:r>
    </w:p>
    <w:p>
      <w:pPr>
        <w:pStyle w:val="Heading2"/>
      </w:pPr>
      <w:r>
        <w:t>105 肝脏疾病肝硬化门静脉高压及腹水专病模板库</w:t>
      </w:r>
    </w:p>
    <w:p>
      <w:pPr>
        <w:widowControl/>
      </w:pPr>
      <w:r>
        <w:t>职责：肝病 门静脉高压和失代偿。</w:t>
      </w:r>
    </w:p>
    <w:p>
      <w:pPr>
        <w:widowControl/>
      </w:pPr>
      <w:r>
        <w:t>相对路径：105_肝脏疾病肝硬化门静脉高压及腹水专病模板库/105_肝脏疾病肝硬化门静脉高压及腹水专病模板库.docx</w:t>
      </w:r>
    </w:p>
    <w:p>
      <w:pPr>
        <w:pStyle w:val="Heading2"/>
      </w:pPr>
      <w:r>
        <w:t>106 胆道胰腺疾病及ERCP与EUS诊疗专病模板库</w:t>
      </w:r>
    </w:p>
    <w:p>
      <w:pPr>
        <w:widowControl/>
      </w:pPr>
      <w:r>
        <w:t>职责：胆胰疾病 ERCP和EUS。</w:t>
      </w:r>
    </w:p>
    <w:p>
      <w:pPr>
        <w:widowControl/>
      </w:pPr>
      <w:r>
        <w:t>相对路径：106_胆道胰腺疾病及ERCP与EUS诊疗专病模板库/106_胆道胰腺疾病及ERCP与EUS诊疗专病模板库.docx</w:t>
      </w:r>
    </w:p>
    <w:p>
      <w:pPr>
        <w:pStyle w:val="Heading2"/>
      </w:pPr>
      <w:r>
        <w:t>107 消化道出血消化系统急症及重症专病模板库</w:t>
      </w:r>
    </w:p>
    <w:p>
      <w:pPr>
        <w:widowControl/>
      </w:pPr>
      <w:r>
        <w:t>职责：出血 急腹症和器官功能衰竭。</w:t>
      </w:r>
    </w:p>
    <w:p>
      <w:pPr>
        <w:widowControl/>
      </w:pPr>
      <w:r>
        <w:t>相对路径：107_消化道出血消化系统急症及重症专病模板库/107_消化道出血消化系统急症及重症专病模板库.docx</w:t>
      </w:r>
    </w:p>
    <w:p>
      <w:pPr>
        <w:pStyle w:val="Heading2"/>
      </w:pPr>
      <w:r>
        <w:t>108 消化道息肉癌前病变早期肿瘤及内镜切除专病模板库</w:t>
      </w:r>
    </w:p>
    <w:p>
      <w:pPr>
        <w:widowControl/>
      </w:pPr>
      <w:r>
        <w:t>职责：息肉 早癌 EMR ESD及切除后病理评价。</w:t>
      </w:r>
    </w:p>
    <w:p>
      <w:pPr>
        <w:widowControl/>
      </w:pPr>
      <w:r>
        <w:t>相对路径：108_消化道息肉癌前病变早期肿瘤及内镜切除专病模板库/108_消化道息肉癌前病变早期肿瘤及内镜切除专病模板库.docx</w:t>
      </w:r>
    </w:p>
    <w:p>
      <w:bookmarkStart w:id="3" w:name="s3"/>
      <w:pPr>
        <w:pStyle w:val="Heading1"/>
      </w:pPr>
      <w:r>
        <w:t>加载顺序和优先级</w:t>
      </w:r>
      <w:bookmarkEnd w:id="3"/>
    </w:p>
    <w:p>
      <w:pPr>
        <w:widowControl/>
      </w:pPr>
      <w:r>
        <w:t>初始化读取00；每次执行01约束→11识别患者、本次住院和事件状态→按需选02—09→选相关101—108→10终审→输出。01是系统内部最高规则，下级不得覆盖；法律法规及有效院内制度约束临床行为，已核实事实限定正文，知识仅提供分析框架。用户更正需核实归属和事件，后发消息不自动覆盖正式原报告。</w:t>
      </w:r>
    </w:p>
    <w:p>
      <w:bookmarkStart w:id="4" w:name="s4"/>
      <w:pPr>
        <w:pStyle w:val="Heading1"/>
      </w:pPr>
      <w:r>
        <w:t>任务识别与最小充分路由</w:t>
      </w:r>
      <w:bookmarkEnd w:id="4"/>
    </w:p>
    <w:p>
      <w:pPr>
        <w:widowControl/>
      </w:pPr>
      <w:r>
        <w:t>先识别文书类型、记录时间、医师层级、主要器官、疾病确定度、是否急变、是否内镜前后、是否多病灶/病理回报、治疗执行及出院状态。同一问题只生成一次病例骨架。</w:t>
      </w:r>
    </w:p>
    <w:p>
      <w:pPr>
        <w:widowControl/>
      </w:pPr>
      <w:r>
        <w:t>胃溃疡首次病程：01＋11＋02＋03＋04＋102＋10。</w:t>
      </w:r>
    </w:p>
    <w:p>
      <w:pPr>
        <w:widowControl/>
      </w:pPr>
      <w:r>
        <w:t>慢性胃炎胃镜报告分析：01＋11＋04＋102＋10；只抄原文时不附加治疗推断。</w:t>
      </w:r>
    </w:p>
    <w:p>
      <w:pPr>
        <w:widowControl/>
      </w:pPr>
      <w:r>
        <w:t>普通胃镜前小结：01＋11＋02＋05＋相关专病＋10；准备不足由05核对。</w:t>
      </w:r>
    </w:p>
    <w:p>
      <w:pPr>
        <w:widowControl/>
      </w:pPr>
      <w:r>
        <w:t>胃镜活检后主任查房：01＋11＋02＋04＋05＋08＋102或108＋10。</w:t>
      </w:r>
    </w:p>
    <w:p>
      <w:pPr>
        <w:widowControl/>
      </w:pPr>
      <w:r>
        <w:t>结肠息肉EMR后第1天：01＋11＋02＋05＋108＋10；用户指定上级查房再加08，有用药决策再加07。</w:t>
      </w:r>
    </w:p>
    <w:p>
      <w:pPr>
        <w:widowControl/>
      </w:pPr>
      <w:r>
        <w:t>ESD病理回报：01＋11＋02＋04＋05＋108＋10；需要上级决策加08。</w:t>
      </w:r>
    </w:p>
    <w:p>
      <w:pPr>
        <w:widowControl/>
      </w:pPr>
      <w:r>
        <w:t>UC主任查房：01＋11＋02＋04＋07＋08＋104＋10。</w:t>
      </w:r>
    </w:p>
    <w:p>
      <w:pPr>
        <w:widowControl/>
      </w:pPr>
      <w:r>
        <w:t>肝硬化腹水日常病程：01＋11＋02＋04＋07＋105＋10。</w:t>
      </w:r>
    </w:p>
    <w:p>
      <w:pPr>
        <w:widowControl/>
      </w:pPr>
      <w:r>
        <w:t>ERCP后首次病程：01＋11＋02＋05＋106＋10；腹痛发热加06和04。</w:t>
      </w:r>
    </w:p>
    <w:p>
      <w:pPr>
        <w:widowControl/>
      </w:pPr>
      <w:r>
        <w:t>大量上消化道出血抢救：01＋11＋02＋04＋06＋07＋107＋10，立即临床评估先于整理文书。</w:t>
      </w:r>
    </w:p>
    <w:p>
      <w:pPr>
        <w:widowControl/>
      </w:pPr>
      <w:r>
        <w:t>多发肠息肉不同病理：01＋11＋04＋108＋10，逐病灶核瓶号。</w:t>
      </w:r>
    </w:p>
    <w:p>
      <w:pPr>
        <w:widowControl/>
      </w:pPr>
      <w:r>
        <w:t>胃早癌ESD后出院：01＋11＋02＋04＋05＋09＋108＋10。</w:t>
      </w:r>
    </w:p>
    <w:p>
      <w:bookmarkStart w:id="5" w:name="s5"/>
      <w:pPr>
        <w:pStyle w:val="Heading1"/>
      </w:pPr>
      <w:r>
        <w:t>入口状态核对及失败处理</w:t>
      </w:r>
      <w:bookmarkEnd w:id="5"/>
    </w:p>
    <w:p>
      <w:pPr>
        <w:widowControl/>
      </w:pPr>
      <w:r>
        <w:t>姓名和床号不独立作为唯一键；patient_id与姓名/出生资料等第二标识核对，住院另建encounter_id。检查按study_id、操作按procedure_id、病灶按lesion_id、标本按specimen_id管理。先隔离异患者报告，再比较检查、采样、回报和文书时间。关键缺失只询问最少必要资料，非关键缺项安全省略并在框外说明。不输出混有假设事实的净稿。</w:t>
      </w:r>
    </w:p>
    <w:p>
      <w:pPr>
        <w:widowControl/>
      </w:pPr>
      <w:r>
        <w:t>内镜任务同时核查目的、实际到达部位、是否仅观察、是否活检、是否治疗及治疗方式。活检结果不能代替切除标本；一次内镜多病灶分别建档，重复内镜新建事件。并发症先写事实与疑诊，不能凭“术后腹痛”确诊穿孔。</w:t>
      </w:r>
    </w:p>
    <w:p>
      <w:bookmarkStart w:id="6" w:name="s6"/>
      <w:pPr>
        <w:pStyle w:val="Heading1"/>
      </w:pPr>
      <w:r>
        <w:t>正式文书输出完整协议</w:t>
      </w:r>
      <w:bookmarkEnd w:id="6"/>
    </w:p>
    <w:p>
      <w:pPr>
        <w:widowControl/>
      </w:pPr>
      <w:r>
        <w:t>所有正式医学文书正文置于独立Markdown text代码框。记录日期、时间、标题和查房医师姓名职称置于框外；框内仅放医学正文，不重复题头，不放AI解释、备注或核对问题。日常病程和主治、副主任、主任医师查房均为连续完整一整段，不分条、不留空行、不人为加空格，仍需保留必要临床内容。入院、首次病程、术前小结、操作记录、抢救和出院文书可保留必要栏目。临床事件时间、标本时间和既往操作日期可以出现在正文，不能误删。禁止“根据昨天的病程记录”“结合前一天的查体情况”“根据用户上传的图片”“AI分析认为”。模板中的【字段】只供构造，正式净稿须替换或安全删除，不能保留占位符、“有/无”双选或默认正常。关键事实冲突在框外提示并阻断受影响净稿。</w:t>
      </w:r>
    </w:p>
    <w:p>
      <w:bookmarkStart w:id="7" w:name="s7"/>
      <w:pPr>
        <w:pStyle w:val="Heading1"/>
      </w:pPr>
      <w:r>
        <w:t>系统使用输入及运行示范</w:t>
      </w:r>
      <w:bookmarkEnd w:id="7"/>
    </w:p>
    <w:p>
      <w:pPr>
        <w:widowControl/>
      </w:pPr>
      <w:r>
        <w:t>推荐输入：患者编码及第二标识、本次住院与入院日、记录日期时间、文书类型、当次症状查体、带时间的检验影像及内镜原文、操作记录、病灶标本映射、病理回报时间、药物医嘱与执行、真实医师意见及新增更正。可连续补充，不要求手选模块。</w:t>
      </w:r>
    </w:p>
    <w:p>
      <w:pPr>
        <w:widowControl/>
      </w:pPr>
      <w:r>
        <w:t>虚构示例SIM-GI-00/E01：10月24日胃镜发现胃角病变L1并活检S1；10月26日09:00请求病程，病理10月26日15:00才回报。路由01、11、02、04、102、10；09:00记录仅可写“胃角病变活检后，病理待回报”，不能提前写15:00结果。以下为模拟输出，不得用于真实患者。</w:t>
      </w:r>
    </w:p>
    <w:p>
      <w:pPr>
        <w:widowControl/>
      </w:pPr>
      <w:r>
        <w:t>2026年10月26日 09:00 日常病程记录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患者此前胃镜示胃角病变并已行活检，截至本次记录时点病理尚未回报，当前病变性质仍需结合病理结果进一步明确。后续诊断与处置待病理回报后由责任医师结合临床资料复核。</w:t>
      </w:r>
    </w:p>
    <w:p>
      <w:pPr>
        <w:pStyle w:val="Code"/>
      </w:pPr>
      <w:r>
        <w:t>```</w:t>
      </w:r>
    </w:p>
    <w:p>
      <w:bookmarkStart w:id="8" w:name="s8"/>
      <w:pPr>
        <w:pStyle w:val="Heading1"/>
      </w:pPr>
      <w:r>
        <w:t>原系统参考与实际迁移</w:t>
      </w:r>
      <w:bookmarkEnd w:id="8"/>
    </w:p>
    <w:p>
      <w:pPr>
        <w:widowControl/>
      </w:pPr>
      <w:r>
        <w:t>已从桌面病历模板库提取骨科V2.0的00、01、08、11，普外科肝胆胰脾胃肠肛肠V2.0的00、01、02、04、05、08、10、11，以及神经内科包含介入的00、01、08、11共16份Word正文。参考相关章节的三级编号、事实来源包装、计划与执行分离、病例事件隔离、查房层级、代码框、最小路由及终审设计。消化专病、胃肠镜、ERCP、EUS、EMR、ESD与病理映射独立编写，未迁入骨科或外科术式医学内容。原文件保持原位。</w:t>
      </w:r>
    </w:p>
    <w:p>
      <w:bookmarkStart w:id="9" w:name="s9"/>
      <w:pPr>
        <w:pStyle w:val="Heading1"/>
      </w:pPr>
      <w:r>
        <w:t>事实限制 常见错误及质控</w:t>
      </w:r>
      <w:bookmarkEnd w:id="9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入口复核：20模块编号齐全；患者与本次住院独立；所选模块与真实任务相符；没有把技能资料包描述为已上线临床软件。</w:t>
      </w:r>
    </w:p>
    <w:p>
      <w:pPr>
        <w:widowControl/>
      </w:pPr>
      <w:r>
        <w:t>不得将模板建议改写成已执行处置。症状减轻不等于黏膜愈合，技术完成不等于病理治愈，未记录并发症不等于已经排除。</w:t>
      </w:r>
    </w:p>
    <w:p>
      <w:bookmarkStart w:id="10" w:name="s10"/>
      <w:pPr>
        <w:pStyle w:val="Heading1"/>
      </w:pPr>
      <w:r>
        <w:t>协同与维护</w:t>
      </w:r>
      <w:bookmarkEnd w:id="10"/>
    </w:p>
    <w:p>
      <w:pPr>
        <w:widowControl/>
      </w:pPr>
      <w:r>
        <w:t>00为唯一入口，01最高规则，11管理身份和事件，02—09提供任务功能，101—108补充对应疾病知识，10输出前终审。只读取本任务所需模块，冲突按01处理，不重复拼接正文。季度复核指南版本，新增指南、药物说明书或院内流程变化时由消化、内镜、麻醉、病理与病案质控人员按职责修订；保留修订人、日期、原因、受影响条款和回归用例。</w:t>
      </w:r>
    </w:p>
    <w:p>
      <w:bookmarkStart w:id="11" w:name="s11"/>
      <w:pPr>
        <w:pStyle w:val="Heading1"/>
      </w:pPr>
      <w:r>
        <w:t>指南版本和适用章节</w:t>
      </w:r>
      <w:bookmarkEnd w:id="11"/>
    </w:p>
    <w:p>
      <w:pPr>
        <w:widowControl/>
      </w:pPr>
      <w:r>
        <w:t>核验基准日2026-10-26。来源编号及准确名称、发布机构、年份、可访问层级与链接见本章记录。书目或摘要不能代替全文推荐；未核原文的精确阈值、剂量、证据等级和固定复查间隔不成为自动生成规则。国际文献仅补充适用的定义和方法，须结合中国规范及院内授权。</w:t>
      </w:r>
    </w:p>
    <w:p>
      <w:pPr>
        <w:widowControl/>
      </w:pPr>
      <w:r>
        <w:t>R01 R02 R03为记录和电子病历管理依据；R04 R05为内镜准入和质控；R06为镇静麻醉文书及协作范围。详见下方逐条来源。</w:t>
      </w:r>
    </w:p>
    <w:p>
      <w:bookmarkStart w:id="12" w:name="s12"/>
      <w:pPr>
        <w:pStyle w:val="Heading1"/>
      </w:pPr>
      <w:r>
        <w:t>逐条来源核验登记</w:t>
      </w:r>
      <w:bookmarkEnd w:id="12"/>
    </w:p>
    <w:p>
      <w:pPr>
        <w:pStyle w:val="Heading2"/>
      </w:pPr>
      <w:r>
        <w:t>R01 病历书写基本规范</w:t>
      </w:r>
    </w:p>
    <w:p>
      <w:pPr>
        <w:widowControl/>
      </w:pPr>
      <w:r>
        <w:t>发布机构：原卫生部。版本年份：2010。核验日期：2026-10-26。</w:t>
      </w:r>
    </w:p>
    <w:p>
      <w:pPr>
        <w:widowControl/>
      </w:pPr>
      <w:r>
        <w:t>实际核验层级：官方发布索引与规范信息；直接正文抓取遇412，未据此新增精确时限。</w:t>
      </w:r>
    </w:p>
    <w:p>
      <w:pPr>
        <w:widowControl/>
      </w:pPr>
      <w:r>
        <w:t>适用章节：全模块真实性及基本文书栏目。</w:t>
      </w:r>
    </w:p>
    <w:p>
      <w:pPr>
        <w:widowControl/>
      </w:pPr>
      <w:r>
        <w:t>来源：https://www.nhc.gov.cn/wjw/c100175/201002/b1bec53d90f243e0861529723f00221a.shtml</w:t>
      </w:r>
    </w:p>
    <w:p>
      <w:pPr>
        <w:pStyle w:val="Heading2"/>
      </w:pPr>
      <w:r>
        <w:t>R02 医疗质量安全核心制度要点</w:t>
      </w:r>
    </w:p>
    <w:p>
      <w:pPr>
        <w:widowControl/>
      </w:pPr>
      <w:r>
        <w:t>发布机构：国家卫生健康委员会。版本年份：2018。核验日期：2026-10-26。</w:t>
      </w:r>
    </w:p>
    <w:p>
      <w:pPr>
        <w:widowControl/>
      </w:pPr>
      <w:r>
        <w:t>实际核验层级：官方通知及制度文本可访问。</w:t>
      </w:r>
    </w:p>
    <w:p>
      <w:pPr>
        <w:widowControl/>
      </w:pPr>
      <w:r>
        <w:t>适用章节：查房 会诊 危急值 抢救和记录责任。</w:t>
      </w:r>
    </w:p>
    <w:p>
      <w:pPr>
        <w:widowControl/>
      </w:pPr>
      <w:r>
        <w:t>来源：https://www.nhc.gov.cn/yzygj/c100068/201804/42ab2552298047679cd6ec733f233862.shtml</w:t>
      </w:r>
    </w:p>
    <w:p>
      <w:pPr>
        <w:pStyle w:val="Heading2"/>
      </w:pPr>
      <w:r>
        <w:t>R03 电子病历应用管理规范 试行</w:t>
      </w:r>
    </w:p>
    <w:p>
      <w:pPr>
        <w:widowControl/>
      </w:pPr>
      <w:r>
        <w:t>发布机构：原国家卫生计生委 国家中医药管理局。版本年份：2017。核验日期：2026-10-26。</w:t>
      </w:r>
    </w:p>
    <w:p>
      <w:pPr>
        <w:widowControl/>
      </w:pPr>
      <w:r>
        <w:t>实际核验层级：官方正文可访问。</w:t>
      </w:r>
    </w:p>
    <w:p>
      <w:pPr>
        <w:widowControl/>
      </w:pPr>
      <w:r>
        <w:t>适用章节：身份唯一性 权限 修改留痕与签署。</w:t>
      </w:r>
    </w:p>
    <w:p>
      <w:pPr>
        <w:widowControl/>
      </w:pPr>
      <w:r>
        <w:t>来源：https://www.nhc.gov.cn/mohwsbwstjxxzx/s8553/201702/ebe31b47c1ea4bcfaed973fb8806992c.shtml</w:t>
      </w:r>
    </w:p>
    <w:p>
      <w:pPr>
        <w:pStyle w:val="Heading2"/>
      </w:pPr>
      <w:r>
        <w:t>R04 消化内镜诊疗技术临床应用管理规范 2019年版</w:t>
      </w:r>
    </w:p>
    <w:p>
      <w:pPr>
        <w:widowControl/>
      </w:pPr>
      <w:r>
        <w:t>发布机构：国家卫生健康委办公厅。版本年份：2019。核验日期：2026-10-26。</w:t>
      </w:r>
    </w:p>
    <w:p>
      <w:pPr>
        <w:widowControl/>
      </w:pPr>
      <w:r>
        <w:t>实际核验层级：官方附件正文及发布索引；检索未能确认同名替代版，不称绝对最新。</w:t>
      </w:r>
    </w:p>
    <w:p>
      <w:pPr>
        <w:widowControl/>
      </w:pPr>
      <w:r>
        <w:t>适用章节：机构和人员准入 技术能力 操作记录边界。</w:t>
      </w:r>
    </w:p>
    <w:p>
      <w:pPr>
        <w:widowControl/>
      </w:pPr>
      <w:r>
        <w:t>来源：https://www.nhc.gov.cn/yzygj/c100068/201912/9be34a67211b4ce9a3344cb85638e987/files/1733999173171_88380.pdf</w:t>
      </w:r>
    </w:p>
    <w:p>
      <w:pPr>
        <w:pStyle w:val="Heading2"/>
      </w:pPr>
      <w:r>
        <w:t>R05 消化内镜诊疗技术医疗质量控制指标 2022年版</w:t>
      </w:r>
    </w:p>
    <w:p>
      <w:pPr>
        <w:widowControl/>
      </w:pPr>
      <w:r>
        <w:t>发布机构：国家卫生健康委办公厅。版本年份：2022。核验日期：2026-10-26。</w:t>
      </w:r>
    </w:p>
    <w:p>
      <w:pPr>
        <w:widowControl/>
      </w:pPr>
      <w:r>
        <w:t>实际核验层级：官方PDF可访问。</w:t>
      </w:r>
    </w:p>
    <w:p>
      <w:pPr>
        <w:widowControl/>
      </w:pPr>
      <w:r>
        <w:t>适用章节：内镜质量记录和指标定义；机构指标不变成患者已检查事实。</w:t>
      </w:r>
    </w:p>
    <w:p>
      <w:pPr>
        <w:widowControl/>
      </w:pPr>
      <w:r>
        <w:t>来源：https://www.nhc.gov.cn/yzygj/c100068/202205/164e6556f6d34c33a3344fec9a2c5074/files/1733999800103_94149.pdf</w:t>
      </w:r>
    </w:p>
    <w:p>
      <w:pPr>
        <w:pStyle w:val="Heading2"/>
      </w:pPr>
      <w:r>
        <w:t>R06 消化内镜诊疗镇静及麻醉管理中国指南 2026版</w:t>
      </w:r>
    </w:p>
    <w:p>
      <w:pPr>
        <w:widowControl/>
      </w:pPr>
      <w:r>
        <w:t>发布机构：国家消化内科专业医疗质量控制中心 国家麻醉专业医疗质量控制中心 中国医师协会内镜医师分会 中国日间手术合作联盟麻醉专业委员会。版本年份：2026。核验日期：2026-10-26。</w:t>
      </w:r>
    </w:p>
    <w:p>
      <w:pPr>
        <w:widowControl/>
      </w:pPr>
      <w:r>
        <w:t>实际核验层级：原刊题录及13页PDF已获取并提取，核对术前评估 监测 恢复与离院相关部分；未作全推荐逐条转录。</w:t>
      </w:r>
    </w:p>
    <w:p>
      <w:pPr>
        <w:widowControl/>
      </w:pPr>
      <w:r>
        <w:t>适用章节：05无痛内镜 06呼吸循环异常 07麻醉事实核对 09离院。</w:t>
      </w:r>
    </w:p>
    <w:p>
      <w:pPr>
        <w:widowControl/>
      </w:pPr>
      <w:r>
        <w:t>来源：https://xhyxzz.pumch.cn/article/doi/10.12290/xhyxzz.2026-0168?viewType=HTML</w:t>
      </w:r>
    </w:p>
    <w:p>
      <w:pPr>
        <w:widowControl/>
      </w:pPr>
      <w:r>
        <w:t>DOI：10.12290/xhyxzz.2026-0168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00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="Hiragino Sans GB" w:hAnsi="Hiragino Sans GB" w:eastAsia="Hiragino Sans GB" w:cs="Hiragino Sans GB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81" w:lineRule="auto" w:after="40"/>
    </w:pPr>
    <w:rPr>
      <w:rFonts w:ascii="Hiragino Sans GB" w:hAnsi="Hiragino Sans GB" w:eastAsia="Hiragino Sans GB" w:cs="Hiragino Sans GB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消化内科AI病历系统总入口与模块调用索引</dc:title>
  <dc:subject>消化内科含胃肠镜AI病历书写系统V1.0</dc:subject>
  <dc:creator>病历模板库</dc:creator>
  <cp:keywords>消化内科 胃肠镜 医学文书 真实性 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