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消化系统专科查体症状评估与疾病分型模板库</w:t>
      </w:r>
    </w:p>
    <w:p>
      <w:pPr>
        <w:pStyle w:val="Subtitle"/>
      </w:pPr>
      <w:r>
        <w:t>消化内科含胃肠镜AI病历书写系统 V1.0</w:t>
      </w:r>
    </w:p>
    <w:p>
      <w:r>
        <w:t>模块编号 03　版本 V1.0　所属层级 第二级 通用医学文书功能层</w:t>
      </w:r>
    </w:p>
    <w:p>
      <w:r>
        <w:t>建设及资料核验日期 2026年10月26日</w:t>
      </w:r>
    </w:p>
    <w:p>
      <w:r>
        <w:t>功能定位 实查 症状和评分变量</w:t>
      </w:r>
    </w:p>
    <w:p>
      <w:r>
        <w:t>适用范围 中国医院消化内科病房 消化内镜中心及相关协作诊疗的医师文书辅助</w:t>
      </w:r>
    </w:p>
    <w:p>
      <w:r>
        <w:t>本文件提供拟稿、证据整理和质控规则。临床诊疗、内镜操作、麻醉、处方、知情同意及签名由具备权限的医务人员实施。</w:t>
      </w:r>
    </w:p>
    <w:p>
      <w:r>
        <w:br w:type="page"/>
      </w:r>
    </w:p>
    <w:p>
      <w:pPr>
        <w:pStyle w:val="Heading1"/>
      </w:pPr>
      <w:r>
        <w:t>目录</w:t>
      </w:r>
    </w:p>
    <w:p>
      <w:hyperlink w:anchor="s1">
        <w:r>
          <w:t>01  任务触发与临床采集</w:t>
        </w:r>
      </w:hyperlink>
    </w:p>
    <w:p>
      <w:hyperlink w:anchor="s2">
        <w:r>
          <w:t>02  21项症状采集卡</w:t>
        </w:r>
      </w:hyperlink>
    </w:p>
    <w:p>
      <w:hyperlink w:anchor="s3">
        <w:r>
          <w:t>03  专科实查的顺序和限制</w:t>
        </w:r>
      </w:hyperlink>
    </w:p>
    <w:p>
      <w:hyperlink w:anchor="s4">
        <w:r>
          <w:t>04  评分分级的变量和解释</w:t>
        </w:r>
      </w:hyperlink>
    </w:p>
    <w:p>
      <w:hyperlink w:anchor="s5">
        <w:r>
          <w:t>05  虚构病例与评分缺项示例</w:t>
        </w:r>
      </w:hyperlink>
    </w:p>
    <w:p>
      <w:hyperlink w:anchor="s6">
        <w:r>
          <w:t>06  事实限制 常见错误及质控</w:t>
        </w:r>
      </w:hyperlink>
    </w:p>
    <w:p>
      <w:hyperlink w:anchor="s7">
        <w:r>
          <w:t>07  协同与维护</w:t>
        </w:r>
      </w:hyperlink>
    </w:p>
    <w:p>
      <w:hyperlink w:anchor="s8">
        <w:r>
          <w:t>08  指南版本和适用章节</w:t>
        </w:r>
      </w:hyperlink>
    </w:p>
    <w:p>
      <w:hyperlink w:anchor="s9">
        <w:r>
          <w:t>09  逐条来源核验登记</w:t>
        </w:r>
      </w:hyperlink>
    </w:p>
    <w:p/>
    <w:p>
      <w:bookmarkStart w:id="1" w:name="s1"/>
      <w:pPr>
        <w:pStyle w:val="Heading1"/>
      </w:pPr>
      <w:r>
        <w:t>任务触发与临床采集</w:t>
      </w:r>
      <w:bookmarkEnd w:id="1"/>
    </w:p>
    <w:p>
      <w:pPr>
        <w:widowControl/>
      </w:pPr>
      <w:r>
        <w:t>用于症状采集、腹部实查、疾病定位和分型评分。输入当次问诊与检查者记录及时间、相关检验内镜影像；输出真实所见、临床意义与尚需评估的问题。急痛、出血、黄疸伴发热、意识和循环异常优先联合06及107。一般病史与当日实查不能互相替代。</w:t>
      </w:r>
    </w:p>
    <w:p>
      <w:bookmarkStart w:id="2" w:name="s2"/>
      <w:pPr>
        <w:pStyle w:val="Heading1"/>
      </w:pPr>
      <w:r>
        <w:t>21项症状采集卡</w:t>
      </w:r>
      <w:bookmarkEnd w:id="2"/>
    </w:p>
    <w:p>
      <w:pPr>
        <w:widowControl/>
      </w:pPr>
      <w:r>
        <w:t>每项均记录起始时间、持续或频率、诱因、伴随症状、进食排便关系、严重度及真实治疗后变化；否认内容必须实际询问。患者估量的血量标为陈述，不写精确失血量。</w:t>
      </w:r>
    </w:p>
    <w:p>
      <w:pPr>
        <w:pStyle w:val="Heading2"/>
      </w:pPr>
      <w:r>
        <w:t>腹痛</w:t>
      </w:r>
    </w:p>
    <w:p>
      <w:pPr>
        <w:widowControl/>
      </w:pPr>
      <w:r>
        <w:t>专科重点：定位、起病急缓、性质强度、持续/阵发、放射、进食排便体位关系，腹膜刺激和循环红旗。</w:t>
      </w:r>
    </w:p>
    <w:p>
      <w:pPr>
        <w:widowControl/>
      </w:pPr>
      <w:r>
        <w:t>完整采集模板：患者自【起始时点】出现【实际表现和程度】，频率/持续【资料】，与【诱因、进食排便或体位关系】相关，伴【实际伴随症状】，经【已实施处理】后【真实变化】。缺失项不填阴性，按当前表现决定是否需紧急重评。</w:t>
      </w:r>
    </w:p>
    <w:p>
      <w:pPr>
        <w:pStyle w:val="Heading2"/>
      </w:pPr>
      <w:r>
        <w:t>上腹不适</w:t>
      </w:r>
    </w:p>
    <w:p>
      <w:pPr>
        <w:widowControl/>
      </w:pPr>
      <w:r>
        <w:t>专科重点：疼痛或不适的主导感觉、餐前后、夜间、与胸痛鉴别。</w:t>
      </w:r>
    </w:p>
    <w:p>
      <w:pPr>
        <w:widowControl/>
      </w:pPr>
      <w:r>
        <w:t>完整采集模板：患者自【起始时点】出现【实际表现和程度】，频率/持续【资料】，与【诱因、进食排便或体位关系】相关，伴【实际伴随症状】，经【已实施处理】后【真实变化】。缺失项不填阴性，按当前表现决定是否需紧急重评。</w:t>
      </w:r>
    </w:p>
    <w:p>
      <w:pPr>
        <w:pStyle w:val="Heading2"/>
      </w:pPr>
      <w:r>
        <w:t>腹胀</w:t>
      </w:r>
    </w:p>
    <w:p>
      <w:pPr>
        <w:widowControl/>
      </w:pPr>
      <w:r>
        <w:t>专科重点：部位、排气排便变化、腹围、梗阻或腹水表现。</w:t>
      </w:r>
    </w:p>
    <w:p>
      <w:pPr>
        <w:widowControl/>
      </w:pPr>
      <w:r>
        <w:t>完整采集模板：患者自【起始时点】出现【实际表现和程度】，频率/持续【资料】，与【诱因、进食排便或体位关系】相关，伴【实际伴随症状】，经【已实施处理】后【真实变化】。缺失项不填阴性，按当前表现决定是否需紧急重评。</w:t>
      </w:r>
    </w:p>
    <w:p>
      <w:pPr>
        <w:pStyle w:val="Heading2"/>
      </w:pPr>
      <w:r>
        <w:t>反酸</w:t>
      </w:r>
    </w:p>
    <w:p>
      <w:pPr>
        <w:widowControl/>
      </w:pPr>
      <w:r>
        <w:t>专科重点：反流内容、频率、体位和进食关系、抑酸反应。</w:t>
      </w:r>
    </w:p>
    <w:p>
      <w:pPr>
        <w:widowControl/>
      </w:pPr>
      <w:r>
        <w:t>完整采集模板：患者自【起始时点】出现【实际表现和程度】，频率/持续【资料】，与【诱因、进食排便或体位关系】相关，伴【实际伴随症状】，经【已实施处理】后【真实变化】。缺失项不填阴性，按当前表现决定是否需紧急重评。</w:t>
      </w:r>
    </w:p>
    <w:p>
      <w:pPr>
        <w:pStyle w:val="Heading2"/>
      </w:pPr>
      <w:r>
        <w:t>烧心</w:t>
      </w:r>
    </w:p>
    <w:p>
      <w:pPr>
        <w:widowControl/>
      </w:pPr>
      <w:r>
        <w:t>专科重点：胸骨后灼热、心血管危险因素及心源性症状排查。</w:t>
      </w:r>
    </w:p>
    <w:p>
      <w:pPr>
        <w:widowControl/>
      </w:pPr>
      <w:r>
        <w:t>完整采集模板：患者自【起始时点】出现【实际表现和程度】，频率/持续【资料】，与【诱因、进食排便或体位关系】相关，伴【实际伴随症状】，经【已实施处理】后【真实变化】。缺失项不填阴性，按当前表现决定是否需紧急重评。</w:t>
      </w:r>
    </w:p>
    <w:p>
      <w:pPr>
        <w:pStyle w:val="Heading2"/>
      </w:pPr>
      <w:r>
        <w:t>嗳气</w:t>
      </w:r>
    </w:p>
    <w:p>
      <w:pPr>
        <w:widowControl/>
      </w:pPr>
      <w:r>
        <w:t>专科重点：频率、吞气诱因、反流与行为因素。</w:t>
      </w:r>
    </w:p>
    <w:p>
      <w:pPr>
        <w:widowControl/>
      </w:pPr>
      <w:r>
        <w:t>完整采集模板：患者自【起始时点】出现【实际表现和程度】，频率/持续【资料】，与【诱因、进食排便或体位关系】相关，伴【实际伴随症状】，经【已实施处理】后【真实变化】。缺失项不填阴性，按当前表现决定是否需紧急重评。</w:t>
      </w:r>
    </w:p>
    <w:p>
      <w:pPr>
        <w:pStyle w:val="Heading2"/>
      </w:pPr>
      <w:r>
        <w:t>恶心</w:t>
      </w:r>
    </w:p>
    <w:p>
      <w:pPr>
        <w:widowControl/>
      </w:pPr>
      <w:r>
        <w:t>专科重点：诱因、进食药物关系、伴随呕吐和脱水。</w:t>
      </w:r>
    </w:p>
    <w:p>
      <w:pPr>
        <w:widowControl/>
      </w:pPr>
      <w:r>
        <w:t>完整采集模板：患者自【起始时点】出现【实际表现和程度】，频率/持续【资料】，与【诱因、进食排便或体位关系】相关，伴【实际伴随症状】，经【已实施处理】后【真实变化】。缺失项不填阴性，按当前表现决定是否需紧急重评。</w:t>
      </w:r>
    </w:p>
    <w:p>
      <w:pPr>
        <w:pStyle w:val="Heading2"/>
      </w:pPr>
      <w:r>
        <w:t>呕吐</w:t>
      </w:r>
    </w:p>
    <w:p>
      <w:pPr>
        <w:widowControl/>
      </w:pPr>
      <w:r>
        <w:t>专科重点：次数、内容物、咖啡色/血性/胆汁性、与进食关系。</w:t>
      </w:r>
    </w:p>
    <w:p>
      <w:pPr>
        <w:widowControl/>
      </w:pPr>
      <w:r>
        <w:t>完整采集模板：患者自【起始时点】出现【实际表现和程度】，频率/持续【资料】，与【诱因、进食排便或体位关系】相关，伴【实际伴随症状】，经【已实施处理】后【真实变化】。缺失项不填阴性，按当前表现决定是否需紧急重评。</w:t>
      </w:r>
    </w:p>
    <w:p>
      <w:pPr>
        <w:pStyle w:val="Heading2"/>
      </w:pPr>
      <w:r>
        <w:t>呕血</w:t>
      </w:r>
    </w:p>
    <w:p>
      <w:pPr>
        <w:widowControl/>
      </w:pPr>
      <w:r>
        <w:t>专科重点：发生时点、颜色及实际估量来源、头晕晕厥、抗栓和肝病史。</w:t>
      </w:r>
    </w:p>
    <w:p>
      <w:pPr>
        <w:widowControl/>
      </w:pPr>
      <w:r>
        <w:t>完整采集模板：患者自【起始时点】出现【实际表现和程度】，频率/持续【资料】，与【诱因、进食排便或体位关系】相关，伴【实际伴随症状】，经【已实施处理】后【真实变化】。缺失项不填阴性，按当前表现决定是否需紧急重评。</w:t>
      </w:r>
    </w:p>
    <w:p>
      <w:pPr>
        <w:pStyle w:val="Heading2"/>
      </w:pPr>
      <w:r>
        <w:t>黑便</w:t>
      </w:r>
    </w:p>
    <w:p>
      <w:pPr>
        <w:widowControl/>
      </w:pPr>
      <w:r>
        <w:t>专科重点：性状和频率、铁铋食物、循环状态，不能据颜色定位。</w:t>
      </w:r>
    </w:p>
    <w:p>
      <w:pPr>
        <w:widowControl/>
      </w:pPr>
      <w:r>
        <w:t>完整采集模板：患者自【起始时点】出现【实际表现和程度】，频率/持续【资料】，与【诱因、进食排便或体位关系】相关，伴【实际伴随症状】，经【已实施处理】后【真实变化】。缺失项不填阴性，按当前表现决定是否需紧急重评。</w:t>
      </w:r>
    </w:p>
    <w:p>
      <w:pPr>
        <w:pStyle w:val="Heading2"/>
      </w:pPr>
      <w:r>
        <w:t>便血</w:t>
      </w:r>
    </w:p>
    <w:p>
      <w:pPr>
        <w:widowControl/>
      </w:pPr>
      <w:r>
        <w:t>专科重点：鲜红暗红、便表面或混合、量频次、肛痛、炎症与缺血症状。</w:t>
      </w:r>
    </w:p>
    <w:p>
      <w:pPr>
        <w:widowControl/>
      </w:pPr>
      <w:r>
        <w:t>完整采集模板：患者自【起始时点】出现【实际表现和程度】，频率/持续【资料】，与【诱因、进食排便或体位关系】相关，伴【实际伴随症状】，经【已实施处理】后【真实变化】。缺失项不填阴性，按当前表现决定是否需紧急重评。</w:t>
      </w:r>
    </w:p>
    <w:p>
      <w:pPr>
        <w:pStyle w:val="Heading2"/>
      </w:pPr>
      <w:r>
        <w:t>腹泻</w:t>
      </w:r>
    </w:p>
    <w:p>
      <w:pPr>
        <w:widowControl/>
      </w:pPr>
      <w:r>
        <w:t>专科重点：日便次数、性状、夜间、黏液血便、旅行抗菌药和免疫抑制。</w:t>
      </w:r>
    </w:p>
    <w:p>
      <w:pPr>
        <w:widowControl/>
      </w:pPr>
      <w:r>
        <w:t>完整采集模板：患者自【起始时点】出现【实际表现和程度】，频率/持续【资料】，与【诱因、进食排便或体位关系】相关，伴【实际伴随症状】，经【已实施处理】后【真实变化】。缺失项不填阴性，按当前表现决定是否需紧急重评。</w:t>
      </w:r>
    </w:p>
    <w:p>
      <w:pPr>
        <w:pStyle w:val="Heading2"/>
      </w:pPr>
      <w:r>
        <w:t>便秘</w:t>
      </w:r>
    </w:p>
    <w:p>
      <w:pPr>
        <w:widowControl/>
      </w:pPr>
      <w:r>
        <w:t>专科重点：排便频率、费力、干结、不尽和手法辅助、梗阻警示。</w:t>
      </w:r>
    </w:p>
    <w:p>
      <w:pPr>
        <w:widowControl/>
      </w:pPr>
      <w:r>
        <w:t>完整采集模板：患者自【起始时点】出现【实际表现和程度】，频率/持续【资料】，与【诱因、进食排便或体位关系】相关，伴【实际伴随症状】，经【已实施处理】后【真实变化】。缺失项不填阴性，按当前表现决定是否需紧急重评。</w:t>
      </w:r>
    </w:p>
    <w:p>
      <w:pPr>
        <w:pStyle w:val="Heading2"/>
      </w:pPr>
      <w:r>
        <w:t>吞咽困难</w:t>
      </w:r>
    </w:p>
    <w:p>
      <w:pPr>
        <w:widowControl/>
      </w:pPr>
      <w:r>
        <w:t>专科重点：固体或液体、进行性或间歇、吞咽启动与胸后梗阻、体重变化。</w:t>
      </w:r>
    </w:p>
    <w:p>
      <w:pPr>
        <w:widowControl/>
      </w:pPr>
      <w:r>
        <w:t>完整采集模板：患者自【起始时点】出现【实际表现和程度】，频率/持续【资料】，与【诱因、进食排便或体位关系】相关，伴【实际伴随症状】，经【已实施处理】后【真实变化】。缺失项不填阴性，按当前表现决定是否需紧急重评。</w:t>
      </w:r>
    </w:p>
    <w:p>
      <w:pPr>
        <w:pStyle w:val="Heading2"/>
      </w:pPr>
      <w:r>
        <w:t>吞咽疼痛</w:t>
      </w:r>
    </w:p>
    <w:p>
      <w:pPr>
        <w:widowControl/>
      </w:pPr>
      <w:r>
        <w:t>专科重点：部位、药片、免疫抑制、感染与黏膜损伤。</w:t>
      </w:r>
    </w:p>
    <w:p>
      <w:pPr>
        <w:widowControl/>
      </w:pPr>
      <w:r>
        <w:t>完整采集模板：患者自【起始时点】出现【实际表现和程度】，频率/持续【资料】，与【诱因、进食排便或体位关系】相关，伴【实际伴随症状】，经【已实施处理】后【真实变化】。缺失项不填阴性，按当前表现决定是否需紧急重评。</w:t>
      </w:r>
    </w:p>
    <w:p>
      <w:pPr>
        <w:pStyle w:val="Heading2"/>
      </w:pPr>
      <w:r>
        <w:t>早饱</w:t>
      </w:r>
    </w:p>
    <w:p>
      <w:pPr>
        <w:widowControl/>
      </w:pPr>
      <w:r>
        <w:t>专科重点：进食量、持续时间、呕吐和体重变化。</w:t>
      </w:r>
    </w:p>
    <w:p>
      <w:pPr>
        <w:widowControl/>
      </w:pPr>
      <w:r>
        <w:t>完整采集模板：患者自【起始时点】出现【实际表现和程度】，频率/持续【资料】，与【诱因、进食排便或体位关系】相关，伴【实际伴随症状】，经【已实施处理】后【真实变化】。缺失项不填阴性，按当前表现决定是否需紧急重评。</w:t>
      </w:r>
    </w:p>
    <w:p>
      <w:pPr>
        <w:pStyle w:val="Heading2"/>
      </w:pPr>
      <w:r>
        <w:t>食欲下降</w:t>
      </w:r>
    </w:p>
    <w:p>
      <w:pPr>
        <w:widowControl/>
      </w:pPr>
      <w:r>
        <w:t>专科重点：时间、药物情绪、肿瘤与器官衰竭线索。</w:t>
      </w:r>
    </w:p>
    <w:p>
      <w:pPr>
        <w:widowControl/>
      </w:pPr>
      <w:r>
        <w:t>完整采集模板：患者自【起始时点】出现【实际表现和程度】，频率/持续【资料】，与【诱因、进食排便或体位关系】相关，伴【实际伴随症状】，经【已实施处理】后【真实变化】。缺失项不填阴性，按当前表现决定是否需紧急重评。</w:t>
      </w:r>
    </w:p>
    <w:p>
      <w:pPr>
        <w:pStyle w:val="Heading2"/>
      </w:pPr>
      <w:r>
        <w:t>体重变化</w:t>
      </w:r>
    </w:p>
    <w:p>
      <w:pPr>
        <w:widowControl/>
      </w:pPr>
      <w:r>
        <w:t>专科重点：实测体重日期、基线及变化，区分水肿腹水和干重。</w:t>
      </w:r>
    </w:p>
    <w:p>
      <w:pPr>
        <w:widowControl/>
      </w:pPr>
      <w:r>
        <w:t>完整采集模板：患者自【起始时点】出现【实际表现和程度】，频率/持续【资料】，与【诱因、进食排便或体位关系】相关，伴【实际伴随症状】，经【已实施处理】后【真实变化】。缺失项不填阴性，按当前表现决定是否需紧急重评。</w:t>
      </w:r>
    </w:p>
    <w:p>
      <w:pPr>
        <w:pStyle w:val="Heading2"/>
      </w:pPr>
      <w:r>
        <w:t>黄疸</w:t>
      </w:r>
    </w:p>
    <w:p>
      <w:pPr>
        <w:widowControl/>
      </w:pPr>
      <w:r>
        <w:t>专科重点：出现顺序、尿色便色、腹痛发热、药物肝炎暴露。</w:t>
      </w:r>
    </w:p>
    <w:p>
      <w:pPr>
        <w:widowControl/>
      </w:pPr>
      <w:r>
        <w:t>完整采集模板：患者自【起始时点】出现【实际表现和程度】，频率/持续【资料】，与【诱因、进食排便或体位关系】相关，伴【实际伴随症状】，经【已实施处理】后【真实变化】。缺失项不填阴性，按当前表现决定是否需紧急重评。</w:t>
      </w:r>
    </w:p>
    <w:p>
      <w:pPr>
        <w:pStyle w:val="Heading2"/>
      </w:pPr>
      <w:r>
        <w:t>皮肤瘙痒</w:t>
      </w:r>
    </w:p>
    <w:p>
      <w:pPr>
        <w:widowControl/>
      </w:pPr>
      <w:r>
        <w:t>专科重点：持续范围、黄疸和胆汁淤积关系及其他病因。</w:t>
      </w:r>
    </w:p>
    <w:p>
      <w:pPr>
        <w:widowControl/>
      </w:pPr>
      <w:r>
        <w:t>完整采集模板：患者自【起始时点】出现【实际表现和程度】，频率/持续【资料】，与【诱因、进食排便或体位关系】相关，伴【实际伴随症状】，经【已实施处理】后【真实变化】。缺失项不填阴性，按当前表现决定是否需紧急重评。</w:t>
      </w:r>
    </w:p>
    <w:p>
      <w:pPr>
        <w:pStyle w:val="Heading2"/>
      </w:pPr>
      <w:r>
        <w:t>腹水相关症状</w:t>
      </w:r>
    </w:p>
    <w:p>
      <w:pPr>
        <w:widowControl/>
      </w:pPr>
      <w:r>
        <w:t>专科重点：腹围、气促、早饱、尿量、水肿、发热腹痛和意识变化。</w:t>
      </w:r>
    </w:p>
    <w:p>
      <w:pPr>
        <w:widowControl/>
      </w:pPr>
      <w:r>
        <w:t>完整采集模板：患者自【起始时点】出现【实际表现和程度】，频率/持续【资料】，与【诱因、进食排便或体位关系】相关，伴【实际伴随症状】，经【已实施处理】后【真实变化】。缺失项不填阴性，按当前表现决定是否需紧急重评。</w:t>
      </w:r>
    </w:p>
    <w:p>
      <w:bookmarkStart w:id="3" w:name="s3"/>
      <w:pPr>
        <w:pStyle w:val="Heading1"/>
      </w:pPr>
      <w:r>
        <w:t>专科实查的顺序和限制</w:t>
      </w:r>
      <w:bookmarkEnd w:id="3"/>
    </w:p>
    <w:p>
      <w:pPr>
        <w:widowControl/>
      </w:pPr>
      <w:r>
        <w:t>记录实际测量的一般情况、营养体型和意识，贫血貌、巩膜及皮肤黄染；腹部外形及瘢痕膨隆、可见腹壁静脉；按实查记压痛部位、反跳痛、肌紧张、包块及可描述特征；肝脾触诊、移动性浊音或液波等腹水体征；肠鸣音和腹部血管杂音；肝掌蜘蛛痣等肝病体征；必要时记录真实肛门直肠检查及出血颜色；出血患者另记心率血压、末梢灌注和尿量。未进行的项目不自动补正常。</w:t>
      </w:r>
    </w:p>
    <w:p>
      <w:pPr>
        <w:widowControl/>
      </w:pPr>
      <w:r>
        <w:t>不能为了“腹软、无压痛、无反跳痛”套句覆盖实际局限压痛。肝脏未触及不等于影像无病，移动性浊音阴性不能排除少量腹水。循环稳定必须有时点和数据，单次正常血压不排除失血或再出血。</w:t>
      </w:r>
    </w:p>
    <w:p>
      <w:pPr>
        <w:widowControl/>
      </w:pPr>
      <w:r>
        <w:t>【实际日期时间】 消化系统专科检查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一般情况与营养：【当次实查】。皮肤巩膜：【实查】。腹部外形及腹壁：【实查】，压痛【部位及表现】，反跳痛和肌紧张【实查】，包块【实查】，肝脾触诊【实查】，腹水相关体征【实查】，肠鸣音及血管杂音【实查】。循环灌注及其他实际检查：【实测与所见】。</w:t>
      </w:r>
    </w:p>
    <w:p>
      <w:pPr>
        <w:pStyle w:val="Code"/>
      </w:pPr>
      <w:r>
        <w:t>```</w:t>
      </w:r>
    </w:p>
    <w:p>
      <w:bookmarkStart w:id="4" w:name="s4"/>
      <w:pPr>
        <w:pStyle w:val="Heading1"/>
      </w:pPr>
      <w:r>
        <w:t>评分分级的变量和解释</w:t>
      </w:r>
      <w:bookmarkEnd w:id="4"/>
    </w:p>
    <w:p>
      <w:pPr>
        <w:widowControl/>
      </w:pPr>
      <w:r>
        <w:t>以下是数据收集与解释契约，不是未经校验的自动评分器。若需从原始数据计算总分，必须核对相应原表、变量编码、计分版本、单位和时间窗，并记录使用的经本院认可工具；缺项列明缺失，拒绝猜分。已由医师提供分数也须核患者、版本与时点，不能直接升级诊断。</w:t>
      </w:r>
    </w:p>
    <w:p>
      <w:pPr>
        <w:pStyle w:val="Heading2"/>
      </w:pPr>
      <w:r>
        <w:t>Glasgow Blatchford评分</w:t>
      </w:r>
    </w:p>
    <w:p>
      <w:pPr>
        <w:widowControl/>
      </w:pPr>
      <w:r>
        <w:t>适用前提：疑似上消化道出血的内镜前风险。</w:t>
      </w:r>
    </w:p>
    <w:p>
      <w:pPr>
        <w:widowControl/>
      </w:pPr>
      <w:r>
        <w:t>必需变量：血尿素及单位、性别与Hb、收缩压、心率、黑便、晕厥、肝病和心衰。数据时间以该工具规定窗口为准。</w:t>
      </w:r>
    </w:p>
    <w:p>
      <w:pPr>
        <w:widowControl/>
      </w:pPr>
      <w:r>
        <w:t>解释与质量控制：反映干预风险，不确定出血部位；变量缺失不能算0分。</w:t>
      </w:r>
    </w:p>
    <w:p>
      <w:pPr>
        <w:pStyle w:val="Heading2"/>
      </w:pPr>
      <w:r>
        <w:t>Rockall评分</w:t>
      </w:r>
    </w:p>
    <w:p>
      <w:pPr>
        <w:widowControl/>
      </w:pPr>
      <w:r>
        <w:t>适用前提：出血风险，须声明临床版或完整内镜版。</w:t>
      </w:r>
    </w:p>
    <w:p>
      <w:pPr>
        <w:widowControl/>
      </w:pPr>
      <w:r>
        <w:t>必需变量：年龄、休克指标、合并症；完整版本另需内镜诊断与近期出血征象。数据时间以该工具规定窗口为准。</w:t>
      </w:r>
    </w:p>
    <w:p>
      <w:pPr>
        <w:widowControl/>
      </w:pPr>
      <w:r>
        <w:t>解释与质量控制：临床版不能冒充完整评分，内镜未做不能填后两项。</w:t>
      </w:r>
    </w:p>
    <w:p>
      <w:pPr>
        <w:pStyle w:val="Heading2"/>
      </w:pPr>
      <w:r>
        <w:t>Forrest分级</w:t>
      </w:r>
    </w:p>
    <w:p>
      <w:pPr>
        <w:widowControl/>
      </w:pPr>
      <w:r>
        <w:t>适用前提：消化性溃疡内镜出血征象。</w:t>
      </w:r>
    </w:p>
    <w:p>
      <w:pPr>
        <w:widowControl/>
      </w:pPr>
      <w:r>
        <w:t>必需变量：原报告活动性喷射/渗血、裸露血管、附着血凝块、平坦色素斑或洁净基底。数据时间以该工具规定窗口为准。</w:t>
      </w:r>
    </w:p>
    <w:p>
      <w:pPr>
        <w:widowControl/>
      </w:pPr>
      <w:r>
        <w:t>解释与质量控制：Ia喷射、Ib渗血、IIa裸露血管、IIb血凝块、IIc平坦色素斑、III洁净基底；不外推静脉曲张。</w:t>
      </w:r>
    </w:p>
    <w:p>
      <w:pPr>
        <w:pStyle w:val="Heading2"/>
      </w:pPr>
      <w:r>
        <w:t>Child Pugh</w:t>
      </w:r>
    </w:p>
    <w:p>
      <w:pPr>
        <w:widowControl/>
      </w:pPr>
      <w:r>
        <w:t>适用前提：肝硬化储备评估。</w:t>
      </w:r>
    </w:p>
    <w:p>
      <w:pPr>
        <w:widowControl/>
      </w:pPr>
      <w:r>
        <w:t>必需变量：胆红素及单位、白蛋白、凝血指标版本、腹水和肝性脑病程度及评估时点。数据时间以该工具规定窗口为准。</w:t>
      </w:r>
    </w:p>
    <w:p>
      <w:pPr>
        <w:widowControl/>
      </w:pPr>
      <w:r>
        <w:t>解释与质量控制：腹水脑病有主观性，药物控制状态写明；非肝硬化急性损伤不能随意套。</w:t>
      </w:r>
    </w:p>
    <w:p>
      <w:pPr>
        <w:pStyle w:val="Heading2"/>
      </w:pPr>
      <w:r>
        <w:t>MELD系列</w:t>
      </w:r>
    </w:p>
    <w:p>
      <w:pPr>
        <w:widowControl/>
      </w:pPr>
      <w:r>
        <w:t>适用前提：肝病风险或移植评估。</w:t>
      </w:r>
    </w:p>
    <w:p>
      <w:pPr>
        <w:widowControl/>
      </w:pPr>
      <w:r>
        <w:t>必需变量：明确原始MELD、MELD Na或MELD 3.0；对应胆红素、INR、肌酐、透析、钠，3.0另含性别与白蛋白等输入。数据时间以该工具规定窗口为准。</w:t>
      </w:r>
    </w:p>
    <w:p>
      <w:pPr>
        <w:widowControl/>
      </w:pPr>
      <w:r>
        <w:t>解释与质量控制：不同公式及上下限不同，明确版本、单位、采样窗口与校验计算器，不混用总分。</w:t>
      </w:r>
    </w:p>
    <w:p>
      <w:pPr>
        <w:pStyle w:val="Heading2"/>
      </w:pPr>
      <w:r>
        <w:t>修订Atlanta严重程度</w:t>
      </w:r>
    </w:p>
    <w:p>
      <w:pPr>
        <w:widowControl/>
      </w:pPr>
      <w:r>
        <w:t>适用前提：急性胰腺炎。</w:t>
      </w:r>
    </w:p>
    <w:p>
      <w:pPr>
        <w:widowControl/>
      </w:pPr>
      <w:r>
        <w:t>必需变量：器官功能衰竭及持续时间、局部和全身并发症，发病与评估时间。数据时间以该工具规定窗口为准。</w:t>
      </w:r>
    </w:p>
    <w:p>
      <w:pPr>
        <w:widowControl/>
      </w:pPr>
      <w:r>
        <w:t>解释与质量控制：轻症无器官衰竭且无局部全身并发症；中重症有短暂器官衰竭或并发症；重症有持续超过48小时器官衰竭，早期可暂评。</w:t>
      </w:r>
    </w:p>
    <w:p>
      <w:pPr>
        <w:pStyle w:val="Heading2"/>
      </w:pPr>
      <w:r>
        <w:t>BISAP</w:t>
      </w:r>
    </w:p>
    <w:p>
      <w:pPr>
        <w:widowControl/>
      </w:pPr>
      <w:r>
        <w:t>适用前提：急性胰腺炎早期风险。</w:t>
      </w:r>
    </w:p>
    <w:p>
      <w:pPr>
        <w:widowControl/>
      </w:pPr>
      <w:r>
        <w:t>必需变量：入院首24小时BUN、意识、SIRS、年龄、胸腔积液，保留每项时点。数据时间以该工具规定窗口为准。</w:t>
      </w:r>
    </w:p>
    <w:p>
      <w:pPr>
        <w:widowControl/>
      </w:pPr>
      <w:r>
        <w:t>解释与质量控制：风险预测不等于Atlanta重症诊断，首24小时以外不冒称原始BISAP。</w:t>
      </w:r>
    </w:p>
    <w:p>
      <w:pPr>
        <w:pStyle w:val="Heading2"/>
      </w:pPr>
      <w:r>
        <w:t>Mayo评分</w:t>
      </w:r>
    </w:p>
    <w:p>
      <w:pPr>
        <w:widowControl/>
      </w:pPr>
      <w:r>
        <w:t>适用前提：UC活动度。</w:t>
      </w:r>
    </w:p>
    <w:p>
      <w:pPr>
        <w:widowControl/>
      </w:pPr>
      <w:r>
        <w:t>必需变量：每日排便较正常增加、便血、内镜分项、医师总体评价，声明完整版或部分评分。数据时间以该工具规定窗口为准。</w:t>
      </w:r>
    </w:p>
    <w:p>
      <w:pPr>
        <w:widowControl/>
      </w:pPr>
      <w:r>
        <w:t>解释与质量控制：内镜未做只能用适用版本，不能把部分Mayo写全Mayo；内镜评分与总分分开。</w:t>
      </w:r>
    </w:p>
    <w:p>
      <w:pPr>
        <w:pStyle w:val="Heading2"/>
      </w:pPr>
      <w:r>
        <w:t>CDAI</w:t>
      </w:r>
    </w:p>
    <w:p>
      <w:pPr>
        <w:widowControl/>
      </w:pPr>
      <w:r>
        <w:t>适用前提：CD临床活动度。</w:t>
      </w:r>
    </w:p>
    <w:p>
      <w:pPr>
        <w:widowControl/>
      </w:pPr>
      <w:r>
        <w:t>必需变量：连续7天稀便、腹痛、一般状况；并发症、止泻药、腹块、血细胞比容及性别参考、体重/标准体重。数据时间以该工具规定窗口为准。</w:t>
      </w:r>
    </w:p>
    <w:p>
      <w:pPr>
        <w:widowControl/>
      </w:pPr>
      <w:r>
        <w:t>解释与质量控制：缺7日日记不凭今日症状计算；临床评分不能替代内镜或影像客观炎症。</w:t>
      </w:r>
    </w:p>
    <w:p>
      <w:pPr>
        <w:pStyle w:val="Heading2"/>
      </w:pPr>
      <w:r>
        <w:t>SES CD及UCEIS</w:t>
      </w:r>
    </w:p>
    <w:p>
      <w:pPr>
        <w:widowControl/>
      </w:pPr>
      <w:r>
        <w:t>适用前提：IBD内镜客观评价。</w:t>
      </w:r>
    </w:p>
    <w:p>
      <w:pPr>
        <w:widowControl/>
      </w:pPr>
      <w:r>
        <w:t>必需变量：SES CD按各节段溃疡大小、溃疡面比例、受累面比例、狭窄；UCEIS血管纹理、出血、糜烂溃疡。数据时间以该工具规定窗口为准。</w:t>
      </w:r>
    </w:p>
    <w:p>
      <w:pPr>
        <w:widowControl/>
      </w:pPr>
      <w:r>
        <w:t>解释与质量控制：完整观察范围与可评分节段明确，镜未达部位不按0。</w:t>
      </w:r>
    </w:p>
    <w:p>
      <w:pPr>
        <w:pStyle w:val="Heading2"/>
      </w:pPr>
      <w:r>
        <w:t>NRS 2002</w:t>
      </w:r>
    </w:p>
    <w:p>
      <w:pPr>
        <w:widowControl/>
      </w:pPr>
      <w:r>
        <w:t>适用前提：成人住院营养风险筛查。</w:t>
      </w:r>
    </w:p>
    <w:p>
      <w:pPr>
        <w:widowControl/>
      </w:pPr>
      <w:r>
        <w:t>必需变量：营养状况、疾病严重程度、年龄及近期开食体重BMI资料。数据时间以该工具规定窗口为准。</w:t>
      </w:r>
    </w:p>
    <w:p>
      <w:pPr>
        <w:widowControl/>
      </w:pPr>
      <w:r>
        <w:t>解释与质量控制：腹水水肿会影响体重解释，筛查不直接确诊营养不良。</w:t>
      </w:r>
    </w:p>
    <w:p>
      <w:pPr>
        <w:pStyle w:val="Heading2"/>
      </w:pPr>
      <w:r>
        <w:t>BBPS和LA等内镜分级</w:t>
      </w:r>
    </w:p>
    <w:p>
      <w:pPr>
        <w:widowControl/>
      </w:pPr>
      <w:r>
        <w:t>适用前提：肠道准备或反流性食管炎。</w:t>
      </w:r>
    </w:p>
    <w:p>
      <w:pPr>
        <w:widowControl/>
      </w:pPr>
      <w:r>
        <w:t>必需变量：BBPS三个结肠区域各自清洁质量；LA需黏膜破损长径、是否跨皱襞和周径范围。数据时间以该工具规定窗口为准。</w:t>
      </w:r>
    </w:p>
    <w:p>
      <w:pPr>
        <w:widowControl/>
      </w:pPr>
      <w:r>
        <w:t>解释与质量控制：仅用实际报告或明确图像复阅记录，不能由检查完成推准备合格或LA等级。</w:t>
      </w:r>
    </w:p>
    <w:p>
      <w:bookmarkStart w:id="5" w:name="s5"/>
      <w:pPr>
        <w:pStyle w:val="Heading1"/>
      </w:pPr>
      <w:r>
        <w:t>虚构病例与评分缺项示例</w:t>
      </w:r>
      <w:bookmarkEnd w:id="5"/>
    </w:p>
    <w:p>
      <w:pPr>
        <w:widowControl/>
      </w:pPr>
      <w:r>
        <w:t>SIM-GI-03/E01，黑便2日，10月26日09:00心率110次/min、血压95/60 mmHg；Hb、BUN、肝病心衰与晕厥资料缺。GBS不得输出总分，先提醒现场评估循环状态并补齐必要资料。</w:t>
      </w:r>
    </w:p>
    <w:p>
      <w:pPr>
        <w:widowControl/>
      </w:pPr>
      <w:r>
        <w:t>2026年10月26日 09:00 病情评估记录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患者黑便2日，心率110次/min，血压95/60 mmHg，存在循环灌注受影响的风险，需立即结合现场评估及血红蛋白等检查判断出血程度。现有资料不足以完整计算Glasgow Blatchford评分，不能以缺项为零判断低危。</w:t>
      </w:r>
    </w:p>
    <w:p>
      <w:pPr>
        <w:pStyle w:val="Code"/>
      </w:pPr>
      <w:r>
        <w:t>```</w:t>
      </w:r>
    </w:p>
    <w:p>
      <w:bookmarkStart w:id="6" w:name="s6"/>
      <w:pPr>
        <w:pStyle w:val="Heading1"/>
      </w:pPr>
      <w:r>
        <w:t>事实限制 常见错误及质控</w:t>
      </w:r>
      <w:bookmarkEnd w:id="6"/>
    </w:p>
    <w:p>
      <w:pPr>
        <w:widowControl/>
      </w:pPr>
      <w:r>
        <w:t>患者真实资料高于通用模板和医学知识。每条事实绑定patient_id、encounter_id、来源、event_time和available_time；未提供、未做、阴性、阳性和冲突分开。不得编造当日查体、生命体征、检查数值、内镜到达部位、病灶数量大小、活检、器械、夹数、麻醉、治疗执行、病理、分期、会诊、知情沟通或医师意见。历史资料明确日期；当日症状与查体不从昨日自动继承。正式意见由实际责任医师审核签署。</w:t>
      </w:r>
    </w:p>
    <w:p>
      <w:pPr>
        <w:widowControl/>
      </w:pPr>
      <w:r>
        <w:t>评分必须保存变量、时点、单位、版本和解释；分型不能跨器官使用；当日否认呕血黑便和腹膜刺激征均需实际问查；急危状态不能等待评分完成再评估。</w:t>
      </w:r>
    </w:p>
    <w:p>
      <w:pPr>
        <w:widowControl/>
      </w:pPr>
      <w:r>
        <w:t>不得将模板建议改写成已执行处置。症状减轻不等于黏膜愈合，技术完成不等于病理治愈，未记录并发症不等于已经排除。</w:t>
      </w:r>
    </w:p>
    <w:p>
      <w:bookmarkStart w:id="7" w:name="s7"/>
      <w:pPr>
        <w:pStyle w:val="Heading1"/>
      </w:pPr>
      <w:r>
        <w:t>协同与维护</w:t>
      </w:r>
      <w:bookmarkEnd w:id="7"/>
    </w:p>
    <w:p>
      <w:pPr>
        <w:widowControl/>
      </w:pPr>
      <w:r>
        <w:t>00为唯一入口，01最高规则，11管理身份和事件，02—09提供任务功能，101—108补充对应疾病知识，10输出前终审。只读取本任务所需模块，冲突按01处理，不重复拼接正文。季度复核指南版本，新增指南、药物说明书或院内流程变化时由消化、内镜、麻醉、病理与病案质控人员按职责修订；保留修订人、日期、原因、受影响条款和回归用例。</w:t>
      </w:r>
    </w:p>
    <w:p>
      <w:bookmarkStart w:id="8" w:name="s8"/>
      <w:pPr>
        <w:pStyle w:val="Heading1"/>
      </w:pPr>
      <w:r>
        <w:t>指南版本和适用章节</w:t>
      </w:r>
      <w:bookmarkEnd w:id="8"/>
    </w:p>
    <w:p>
      <w:pPr>
        <w:widowControl/>
      </w:pPr>
      <w:r>
        <w:t>核验基准日2026-10-26。来源编号及准确名称、发布机构、年份、可访问层级与链接见本章记录。书目或摘要不能代替全文推荐；未核原文的精确阈值、剂量、证据等级和固定复查间隔不成为自动生成规则。国际文献仅补充适用的定义和方法，须结合中国规范及院内授权。</w:t>
      </w:r>
    </w:p>
    <w:p>
      <w:pPr>
        <w:widowControl/>
      </w:pPr>
      <w:r>
        <w:t>R07反流及内镜分型；R10 R11为UC/CD评价；R13—R15为肝病评估；R16 R17为胰腺炎；R18为出血，精确积分表仍须核原表。</w:t>
      </w:r>
    </w:p>
    <w:p>
      <w:bookmarkStart w:id="9" w:name="s9"/>
      <w:pPr>
        <w:pStyle w:val="Heading1"/>
      </w:pPr>
      <w:r>
        <w:t>逐条来源核验登记</w:t>
      </w:r>
      <w:bookmarkEnd w:id="9"/>
    </w:p>
    <w:p>
      <w:pPr>
        <w:pStyle w:val="Heading2"/>
      </w:pPr>
      <w:r>
        <w:t>R07 中国胃食管反流病诊疗规范</w:t>
      </w:r>
    </w:p>
    <w:p>
      <w:pPr>
        <w:widowControl/>
      </w:pPr>
      <w:r>
        <w:t>发布机构：中国健康促进基金会及中华医学会消化病学分会相关学组 协作组。版本年份：2023。核验日期：2026-10-26。</w:t>
      </w:r>
    </w:p>
    <w:p>
      <w:pPr>
        <w:widowControl/>
      </w:pPr>
      <w:r>
        <w:t>实际核验层级：原刊正文页面与摘要可访问。</w:t>
      </w:r>
    </w:p>
    <w:p>
      <w:pPr>
        <w:widowControl/>
      </w:pPr>
      <w:r>
        <w:t>适用章节：101反流诊断流程 内镜和功能检查边界。</w:t>
      </w:r>
    </w:p>
    <w:p>
      <w:pPr>
        <w:widowControl/>
      </w:pPr>
      <w:r>
        <w:t>来源：https://cs.medjournals.cn/article/en/doi/full/10.3760/cma.j.cn311367-20230626-00289</w:t>
      </w:r>
    </w:p>
    <w:p>
      <w:pPr>
        <w:widowControl/>
      </w:pPr>
      <w:r>
        <w:t>DOI：10.3760/cma.j.cn311367-20230626-00289</w:t>
      </w:r>
    </w:p>
    <w:p>
      <w:pPr>
        <w:pStyle w:val="Heading2"/>
      </w:pPr>
      <w:r>
        <w:t>R10 中国溃疡性结肠炎诊治指南 2023年 西安</w:t>
      </w:r>
    </w:p>
    <w:p>
      <w:pPr>
        <w:widowControl/>
      </w:pPr>
      <w:r>
        <w:t>发布机构：中华医学会消化病学分会炎症性肠病学组等 原刊署名为准。版本年份：2023版 2024发表。核验日期：2026-10-26。</w:t>
      </w:r>
    </w:p>
    <w:p>
      <w:pPr>
        <w:widowControl/>
      </w:pPr>
      <w:r>
        <w:t>实际核验层级：原刊指南专题题录和摘要；未获得全篇授权正文。</w:t>
      </w:r>
    </w:p>
    <w:p>
      <w:pPr>
        <w:widowControl/>
      </w:pPr>
      <w:r>
        <w:t>适用章节：104诊断证据 范围活动与治疗目标。</w:t>
      </w:r>
    </w:p>
    <w:p>
      <w:pPr>
        <w:widowControl/>
      </w:pPr>
      <w:r>
        <w:t>来源：https://zhyxcbzz.yiigle.com/topic/113.jspx</w:t>
      </w:r>
    </w:p>
    <w:p>
      <w:pPr>
        <w:widowControl/>
      </w:pPr>
      <w:r>
        <w:t>DOI：10.3760/cma.j.cn101480-20240123-00017</w:t>
      </w:r>
    </w:p>
    <w:p>
      <w:pPr>
        <w:pStyle w:val="Heading2"/>
      </w:pPr>
      <w:r>
        <w:t>R11 中国克罗恩病诊治指南 2023年 广州</w:t>
      </w:r>
    </w:p>
    <w:p>
      <w:pPr>
        <w:widowControl/>
      </w:pPr>
      <w:r>
        <w:t>发布机构：中华医学会消化病学分会炎症性肠病学组等 原刊署名为准。版本年份：2023版 2024发表。核验日期：2026-10-26。</w:t>
      </w:r>
    </w:p>
    <w:p>
      <w:pPr>
        <w:widowControl/>
      </w:pPr>
      <w:r>
        <w:t>实际核验层级：原刊指南专题题录和摘要；精确推荐待全文核对。</w:t>
      </w:r>
    </w:p>
    <w:p>
      <w:pPr>
        <w:widowControl/>
      </w:pPr>
      <w:r>
        <w:t>适用章节：104综合诊断 结构并发症与长期目标。</w:t>
      </w:r>
    </w:p>
    <w:p>
      <w:pPr>
        <w:widowControl/>
      </w:pPr>
      <w:r>
        <w:t>来源：https://zhyxcbzz.yiigle.com/topic/113.jspx</w:t>
      </w:r>
    </w:p>
    <w:p>
      <w:pPr>
        <w:widowControl/>
      </w:pPr>
      <w:r>
        <w:t>DOI：10.3760/cma.j.cn101480-20240108-00006</w:t>
      </w:r>
    </w:p>
    <w:p>
      <w:pPr>
        <w:pStyle w:val="Heading2"/>
      </w:pPr>
      <w:r>
        <w:t>R13 肝硬化临床诊治管理指南 2025版</w:t>
      </w:r>
    </w:p>
    <w:p>
      <w:pPr>
        <w:widowControl/>
      </w:pPr>
      <w:r>
        <w:t>发布机构：中华医学会肝病学分会。版本年份：2025。核验日期：2026-10-26。</w:t>
      </w:r>
    </w:p>
    <w:p>
      <w:pPr>
        <w:widowControl/>
      </w:pPr>
      <w:r>
        <w:t>实际核验层级：原始中文指南索引和可检索正文片段，直接全文页遇验证；不声称全文全部推荐复核。</w:t>
      </w:r>
    </w:p>
    <w:p>
      <w:pPr>
        <w:widowControl/>
      </w:pPr>
      <w:r>
        <w:t>适用章节：105肝硬化病因 储备 失代偿与长期管理。</w:t>
      </w:r>
    </w:p>
    <w:p>
      <w:pPr>
        <w:widowControl/>
      </w:pPr>
      <w:r>
        <w:t>来源：https://pmc.ncbi.nlm.nih.gov/articles/PMC12861852/</w:t>
      </w:r>
    </w:p>
    <w:p>
      <w:pPr>
        <w:widowControl/>
      </w:pPr>
      <w:r>
        <w:t>DOI：10.3760/cma.j.cn501113-20250728-00298</w:t>
      </w:r>
    </w:p>
    <w:p>
      <w:pPr>
        <w:pStyle w:val="Heading2"/>
      </w:pPr>
      <w:r>
        <w:t>R14 肝硬化腹水诊疗指南 2023年版</w:t>
      </w:r>
    </w:p>
    <w:p>
      <w:pPr>
        <w:widowControl/>
      </w:pPr>
      <w:r>
        <w:t>发布机构：中华医学会肝病学分会。版本年份：2023。核验日期：2026-10-26。</w:t>
      </w:r>
    </w:p>
    <w:p>
      <w:pPr>
        <w:widowControl/>
      </w:pPr>
      <w:r>
        <w:t>实际核验层级：原始中文指南正文索引与可检索部分；未进行剂量条款全核。</w:t>
      </w:r>
    </w:p>
    <w:p>
      <w:pPr>
        <w:widowControl/>
      </w:pPr>
      <w:r>
        <w:t>适用章节：105腹水 SBP及HRS鉴别 07液体利尿 09监测。</w:t>
      </w:r>
    </w:p>
    <w:p>
      <w:pPr>
        <w:widowControl/>
      </w:pPr>
      <w:r>
        <w:t>来源：https://pmc.ncbi.nlm.nih.gov/articles/PMC12814629/</w:t>
      </w:r>
    </w:p>
    <w:p>
      <w:pPr>
        <w:pStyle w:val="Heading2"/>
      </w:pPr>
      <w:r>
        <w:t>R16 中国急性胰腺炎诊治指南 2021</w:t>
      </w:r>
    </w:p>
    <w:p>
      <w:pPr>
        <w:widowControl/>
      </w:pPr>
      <w:r>
        <w:t>发布机构：中华医学会外科学分会胰腺外科学组等原刊作者组。版本年份：2021。核验日期：2026-10-26。</w:t>
      </w:r>
    </w:p>
    <w:p>
      <w:pPr>
        <w:widowControl/>
      </w:pPr>
      <w:r>
        <w:t>实际核验层级：原刊题录摘要可核；作为已核中国基础版，不宣称最新或穷尽后续更新。</w:t>
      </w:r>
    </w:p>
    <w:p>
      <w:pPr>
        <w:widowControl/>
      </w:pPr>
      <w:r>
        <w:t>适用章节：106及107胰腺炎诊断与动态严重度。</w:t>
      </w:r>
    </w:p>
    <w:p>
      <w:pPr>
        <w:widowControl/>
      </w:pPr>
      <w:r>
        <w:t>来源：https://rs.yiigle.com/cmaid/1331236</w:t>
      </w:r>
    </w:p>
    <w:p>
      <w:pPr>
        <w:pStyle w:val="Heading2"/>
      </w:pPr>
      <w:r>
        <w:t>R17 American College of Gastroenterology Guidelines Management of Acute Pancreatitis</w:t>
      </w:r>
    </w:p>
    <w:p>
      <w:pPr>
        <w:widowControl/>
      </w:pPr>
      <w:r>
        <w:t>发布机构：ACG。版本年份：2024。核验日期：2026-10-26。</w:t>
      </w:r>
    </w:p>
    <w:p>
      <w:pPr>
        <w:widowControl/>
      </w:pPr>
      <w:r>
        <w:t>实际核验层级：原始指南摘要和书目；国际补充。</w:t>
      </w:r>
    </w:p>
    <w:p>
      <w:pPr>
        <w:widowControl/>
      </w:pPr>
      <w:r>
        <w:t>适用章节：106灌注营养 病因和器官评价的原则；2025国际修订另需全文补核。</w:t>
      </w:r>
    </w:p>
    <w:p>
      <w:pPr>
        <w:widowControl/>
      </w:pPr>
      <w:r>
        <w:t>来源：https://pubmed.ncbi.nlm.nih.gov/38857482/</w:t>
      </w:r>
    </w:p>
    <w:p>
      <w:pPr>
        <w:pStyle w:val="Heading2"/>
      </w:pPr>
      <w:r>
        <w:t>R18 急性非静脉曲张性上消化道出血诊治指南 2018年 杭州</w:t>
      </w:r>
    </w:p>
    <w:p>
      <w:pPr>
        <w:widowControl/>
      </w:pPr>
      <w:r>
        <w:t>发布机构：中华内科 中华医学 中华消化 中华消化内镜相关编委会及中国医师协会内镜相关专委会。版本年份：2018版 2019多刊发表。核验日期：2026-10-26。</w:t>
      </w:r>
    </w:p>
    <w:p>
      <w:pPr>
        <w:widowControl/>
      </w:pPr>
      <w:r>
        <w:t>实际核验层级：2018杭州成人原始指南PubMed题录摘要已核；不将儿童2024指南当成人更新；精确时窗和剂量仍需原文与院内路径。</w:t>
      </w:r>
    </w:p>
    <w:p>
      <w:pPr>
        <w:widowControl/>
      </w:pPr>
      <w:r>
        <w:t>适用章节：107出血证据 复苏与止血衔接；精确时窗和剂量不据未完整原文自动生成。</w:t>
      </w:r>
    </w:p>
    <w:p>
      <w:pPr>
        <w:widowControl/>
      </w:pPr>
      <w:r>
        <w:t>来源：https://pubmed.ncbi.nlm.nih.gov/30803174/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03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iragino Sans GB" w:hAnsi="Hiragino Sans GB" w:eastAsia="Hiragino Sans GB" w:cs="Hiragino Sans GB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Hiragino Sans GB" w:hAnsi="Hiragino Sans GB" w:eastAsia="Hiragino Sans GB" w:cs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Hiragino Sans GB" w:hAnsi="Hiragino Sans GB" w:eastAsia="Hiragino Sans GB" w:cs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Hiragino Sans GB" w:hAnsi="Hiragino Sans GB" w:eastAsia="Hiragino Sans GB" w:cs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="Hiragino Sans GB" w:hAnsi="Hiragino Sans GB" w:eastAsia="Hiragino Sans GB" w:cs="Hiragino Sans GB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="Hiragino Sans GB" w:hAnsi="Hiragino Sans GB" w:eastAsia="Hiragino Sans GB" w:cs="Hiragino Sans GB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iragino Sans GB" w:hAnsi="Hiragino Sans GB" w:eastAsia="Hiragino Sans GB" w:cs="Hiragino Sans GB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81" w:lineRule="auto" w:after="40"/>
    </w:pPr>
    <w:rPr>
      <w:rFonts w:ascii="Hiragino Sans GB" w:hAnsi="Hiragino Sans GB" w:eastAsia="Hiragino Sans GB" w:cs="Hiragino Sans GB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消化系统专科查体症状评估与疾病分型模板库</dc:title>
  <dc:subject>消化内科含胃肠镜AI病历书写系统V1.0</dc:subject>
  <dc:creator>病历模板库</dc:creator>
  <cp:keywords>消化内科 胃肠镜 医学文书 真实性 质控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