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消化内科检验影像胃肠镜病理及特殊检查结果分析模板库</w:t>
      </w:r>
    </w:p>
    <w:p>
      <w:pPr>
        <w:pStyle w:val="Subtitle"/>
      </w:pPr>
      <w:r>
        <w:t>消化内科含胃肠镜AI病历书写系统 V1.0</w:t>
      </w:r>
    </w:p>
    <w:p>
      <w:r>
        <w:t>模块编号 04　版本 V1.0　所属层级 第二级 通用医学文书功能层</w:t>
      </w:r>
    </w:p>
    <w:p>
      <w:r>
        <w:t>建设及资料核验日期 2026年10月26日</w:t>
      </w:r>
    </w:p>
    <w:p>
      <w:r>
        <w:t>功能定位 报告原文与临床分析及病灶病理映射</w:t>
      </w:r>
    </w:p>
    <w:p>
      <w:r>
        <w:t>适用范围 中国医院消化内科病房 消化内镜中心及相关协作诊疗的医师文书辅助</w:t>
      </w:r>
    </w:p>
    <w:p>
      <w:r>
        <w:t>本文件提供拟稿、证据整理和质控规则。临床诊疗、内镜操作、麻醉、处方、知情同意及签名由具备权限的医务人员实施。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1">
        <w:r>
          <w:t>01  核心任务和双模式入口</w:t>
        </w:r>
      </w:hyperlink>
    </w:p>
    <w:p>
      <w:hyperlink w:anchor="s2">
        <w:r>
          <w:t>02  模式一 原始报告整理</w:t>
        </w:r>
      </w:hyperlink>
    </w:p>
    <w:p>
      <w:hyperlink w:anchor="s3">
        <w:r>
          <w:t>03  模式二 临床结果分析</w:t>
        </w:r>
      </w:hyperlink>
    </w:p>
    <w:p>
      <w:hyperlink w:anchor="s4">
        <w:r>
          <w:t>04  实验室检查的20类分析卡</w:t>
        </w:r>
      </w:hyperlink>
    </w:p>
    <w:p>
      <w:hyperlink w:anchor="s5">
        <w:r>
          <w:t>05  影像与特殊检查</w:t>
        </w:r>
      </w:hyperlink>
    </w:p>
    <w:p>
      <w:hyperlink w:anchor="s6">
        <w:r>
          <w:t>06  胃镜提取规则与报告模板</w:t>
        </w:r>
      </w:hyperlink>
    </w:p>
    <w:p>
      <w:hyperlink w:anchor="s7">
        <w:r>
          <w:t>07  肠镜提取规则与报告模板</w:t>
        </w:r>
      </w:hyperlink>
    </w:p>
    <w:p>
      <w:hyperlink w:anchor="s8">
        <w:r>
          <w:t>08  EUS ERCP 胶囊和小肠镜</w:t>
        </w:r>
      </w:hyperlink>
    </w:p>
    <w:p>
      <w:hyperlink w:anchor="s9">
        <w:r>
          <w:t>09  病理归属与证据层级</w:t>
        </w:r>
      </w:hyperlink>
    </w:p>
    <w:p>
      <w:hyperlink w:anchor="s10">
        <w:r>
          <w:t>10  多病灶虚构病例</w:t>
        </w:r>
      </w:hyperlink>
    </w:p>
    <w:p>
      <w:hyperlink w:anchor="s11">
        <w:r>
          <w:t>11  病理待回的强制前置核验</w:t>
        </w:r>
      </w:hyperlink>
    </w:p>
    <w:p>
      <w:hyperlink w:anchor="s12">
        <w:r>
          <w:t>12  事实限制 常见错误及质控</w:t>
        </w:r>
      </w:hyperlink>
    </w:p>
    <w:p>
      <w:hyperlink w:anchor="s13">
        <w:r>
          <w:t>13  协同与维护</w:t>
        </w:r>
      </w:hyperlink>
    </w:p>
    <w:p>
      <w:hyperlink w:anchor="s14">
        <w:r>
          <w:t>14  指南版本和适用章节</w:t>
        </w:r>
      </w:hyperlink>
    </w:p>
    <w:p>
      <w:hyperlink w:anchor="s15">
        <w:r>
          <w:t>15  逐条来源核验登记</w:t>
        </w:r>
      </w:hyperlink>
    </w:p>
    <w:p/>
    <w:p>
      <w:bookmarkStart w:id="1" w:name="s1"/>
      <w:pPr>
        <w:pStyle w:val="Heading1"/>
      </w:pPr>
      <w:r>
        <w:t>核心任务和双模式入口</w:t>
      </w:r>
      <w:bookmarkEnd w:id="1"/>
    </w:p>
    <w:p>
      <w:pPr>
        <w:widowControl/>
      </w:pPr>
      <w:r>
        <w:t>任何检验、影像、胃肠镜、EUS、ERCP、胶囊小肠镜、病原学或病理整理分析触发。需要患者和住院标识、来源原文、项目、检查/取材/回报时间、参考范围与单位、病灶和标本映射、文书时点及临床背景。先指定“原始报告整理”或“临床结果分析”；两者可并列但标题分开，不能以分析改写原报告。</w:t>
      </w:r>
    </w:p>
    <w:p>
      <w:bookmarkStart w:id="2" w:name="s2"/>
      <w:pPr>
        <w:pStyle w:val="Heading1"/>
      </w:pPr>
      <w:r>
        <w:t>模式一 原始报告整理</w:t>
      </w:r>
      <w:bookmarkEnd w:id="2"/>
    </w:p>
    <w:p>
      <w:pPr>
        <w:widowControl/>
      </w:pPr>
      <w:r>
        <w:t>逐份核患者、机构、项目、检查日期和报告号。检查项目及时间照原记录，所见和诊断意见逐字保留；原有“考虑、倾向、建议、不能除外”必须保留，标点、部位、尺寸、单位和阴阳性不改。图像不清或缺页在框外说明，不能猜；非医学个人标识可在用户明确要求脱敏时使用统一脱敏标记，不能改变诊断文本。</w:t>
      </w:r>
    </w:p>
    <w:p>
      <w:pPr>
        <w:widowControl/>
      </w:pPr>
      <w:r>
        <w:t>【记录日期时间】 原始胃镜报告整理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检查项目及检查时间：【原文】</w:t>
      </w:r>
    </w:p>
    <w:p>
      <w:pPr>
        <w:pStyle w:val="Code"/>
        <w:keepLines w:val="0"/>
        <w:widowControl/>
      </w:pPr>
      <w:r>
        <w:t>检查所见：【完整原文】</w:t>
      </w:r>
    </w:p>
    <w:p>
      <w:pPr>
        <w:pStyle w:val="Code"/>
        <w:keepLines w:val="0"/>
        <w:widowControl/>
      </w:pPr>
      <w:r>
        <w:t>诊断意见：【完整原文】</w:t>
      </w:r>
    </w:p>
    <w:p>
      <w:pPr>
        <w:pStyle w:val="Code"/>
        <w:keepLines w:val="0"/>
        <w:widowControl/>
      </w:pPr>
      <w:r>
        <w:t>取材及其他报告字段：【原文，如有】</w:t>
      </w:r>
    </w:p>
    <w:p>
      <w:pPr>
        <w:pStyle w:val="Code"/>
      </w:pPr>
      <w:r>
        <w:t>```</w:t>
      </w:r>
    </w:p>
    <w:p>
      <w:pPr>
        <w:widowControl/>
      </w:pPr>
      <w:r>
        <w:t>原报告中临床必要日期不受题头禁止重复规则影响。没有某字段就省略该行，不填“无异常”或推定未活检。</w:t>
      </w:r>
    </w:p>
    <w:p>
      <w:bookmarkStart w:id="3" w:name="s3"/>
      <w:pPr>
        <w:pStyle w:val="Heading1"/>
      </w:pPr>
      <w:r>
        <w:t>模式二 临床结果分析</w:t>
      </w:r>
      <w:bookmarkEnd w:id="3"/>
    </w:p>
    <w:p>
      <w:pPr>
        <w:widowControl/>
      </w:pPr>
      <w:r>
        <w:t>按“结果与来源时点→关键异常/趋势→与病情关系→支持和反对证据→局限→风险及后续”组织。数值比较须同项目可比单位和方法，输血、补液、用药和采样条件可影响趋势；仅相关不等于病因。病理、病原学与内镜所见在各自证据层表达，不统一抬为确诊。</w:t>
      </w:r>
    </w:p>
    <w:p>
      <w:pPr>
        <w:widowControl/>
      </w:pPr>
      <w:r>
        <w:t>【记录日期时间】 检查结果分析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【项目与日期】示【关键真实结果】，较【可比历史时点】出现【真实变化】。结合【当次临床事实】，支持【具有确定度的判断】，仍需鉴别【替代解释】，局限为【取材、时间或方法限制】。后续按已确认计划【复评、病理追踪或进一步检查】，实际治疗状态为【真实执行情况】。</w:t>
      </w:r>
    </w:p>
    <w:p>
      <w:pPr>
        <w:pStyle w:val="Code"/>
      </w:pPr>
      <w:r>
        <w:t>```</w:t>
      </w:r>
    </w:p>
    <w:p>
      <w:bookmarkStart w:id="4" w:name="s4"/>
      <w:pPr>
        <w:pStyle w:val="Heading1"/>
      </w:pPr>
      <w:r>
        <w:t>实验室检查的20类分析卡</w:t>
      </w:r>
      <w:bookmarkEnd w:id="4"/>
    </w:p>
    <w:p>
      <w:pPr>
        <w:widowControl/>
      </w:pPr>
      <w:r>
        <w:t>血常规与Hb：记录采样、结果、单位，比较出血、稀释、输血与骨髓等因素；早期Hb正常不能排除急性大量出血，白细胞高不自动细菌感染。</w:t>
      </w:r>
    </w:p>
    <w:p>
      <w:pPr>
        <w:widowControl/>
      </w:pPr>
      <w:r>
        <w:t>凝血：PT、INR、APTT、纤维蛋白原、血小板及抗栓药时间；肝硬化INR不能单独等于操作出血风险；未知凝血不写“正常可手术”。</w:t>
      </w:r>
    </w:p>
    <w:p>
      <w:pPr>
        <w:widowControl/>
      </w:pPr>
      <w:r>
        <w:t>肝功能与胆红素：ALT、AST、ALP、GGT及总/直接胆红素、白蛋白；区分肝细胞损伤、胆汁淤积与合成功能，酶降不一定肝衰竭好转。</w:t>
      </w:r>
    </w:p>
    <w:p>
      <w:pPr>
        <w:widowControl/>
      </w:pPr>
      <w:r>
        <w:t>肾功能、电解质和液体：肌酐、尿素、钠钾等与基线、尿量和补液利尿关联；失代偿肝病肌酐变化需结合肌肉量与药物，不能自动诊肝肾综合征。</w:t>
      </w:r>
    </w:p>
    <w:p>
      <w:pPr>
        <w:widowControl/>
      </w:pPr>
      <w:r>
        <w:t>淀粉酶和脂肪酶：报告上限和时点，与症状及影像共同判断；酶值高低不代替器官衰竭评价，ERCP后单纯高酶不能确诊PEP。</w:t>
      </w:r>
    </w:p>
    <w:p>
      <w:pPr>
        <w:widowControl/>
      </w:pPr>
      <w:r>
        <w:t>感染指标：CRP、PCT、白细胞和培养综合分析，操作后炎症、感染和其他来源分开；不能以一次阴性培养排除感染。</w:t>
      </w:r>
    </w:p>
    <w:p>
      <w:pPr>
        <w:widowControl/>
      </w:pPr>
      <w:r>
        <w:t>大便常规、隐血和粪便检测：采样、可见性状、隐血方法、药食影响和时点；阳性不确定出血点，阴性不排除间歇出血。</w:t>
      </w:r>
    </w:p>
    <w:p>
      <w:pPr>
        <w:widowControl/>
      </w:pPr>
      <w:r>
        <w:t>粪便病原学：培养、毒素/抗原、核酸及药前药后条件；艰难梭菌核酸阳性需结合症状及检测算法，不能把定植直接当感染。</w:t>
      </w:r>
    </w:p>
    <w:p>
      <w:pPr>
        <w:widowControl/>
      </w:pPr>
      <w:r>
        <w:t>粪便钙卫蛋白：方法、参考、药物和感染影响，用于炎症监测辅助，不能单独确诊IBD或替代内镜病理。</w:t>
      </w:r>
    </w:p>
    <w:p>
      <w:pPr>
        <w:widowControl/>
      </w:pPr>
      <w:r>
        <w:t>肝炎病毒：HBsAg、抗体、HBV DNA，HCV抗体与RNA区分既往接触和现症感染；病毒载量与肝炎活动/肝硬化分别评估。</w:t>
      </w:r>
    </w:p>
    <w:p>
      <w:pPr>
        <w:widowControl/>
      </w:pPr>
      <w:r>
        <w:t>自身抗体和免疫：ANA、SMA、AMA等结合滴度、免疫球蛋白、肝胆影像和必要病理，不因单阳性确诊自身免疫肝病。</w:t>
      </w:r>
    </w:p>
    <w:p>
      <w:pPr>
        <w:widowControl/>
      </w:pPr>
      <w:r>
        <w:t>肿瘤标志物：AFP、CEA、CA19-9等注明胆汁淤积和炎症干扰，不能凭升高确诊胃肠胰胆肿瘤或分期。</w:t>
      </w:r>
    </w:p>
    <w:p>
      <w:pPr>
        <w:widowControl/>
      </w:pPr>
      <w:r>
        <w:t>营养指标及其他专科检验：实际体重、摄入、握力/肌量如测得、白蛋白与炎症，不能只靠白蛋白确诊营养不良；其他检验保留方法学和临床场景。</w:t>
      </w:r>
    </w:p>
    <w:p>
      <w:bookmarkStart w:id="5" w:name="s5"/>
      <w:pPr>
        <w:pStyle w:val="Heading1"/>
      </w:pPr>
      <w:r>
        <w:t>影像与特殊检查</w:t>
      </w:r>
      <w:bookmarkEnd w:id="5"/>
    </w:p>
    <w:p>
      <w:pPr>
        <w:widowControl/>
      </w:pPr>
      <w:r>
        <w:t>超声记录肝胆胰脾、胆管、腹水及门静脉实际所见；CT和增强CT区分平扫/各期增强、病灶位置大小、血管器官关系及并发症；MRI/MRCP描述胆胰管、梗阻水平与可能病因，不能把扩张等于结石。CTA关注活动出血征象和血管异常，阴性不排除间歇出血。CTE/MRE说明肠段、壁及肠外改变，狭窄的炎症与纤维化确定度不得超过报告。造影、肝弹性及其他项目注明方法、完成程度和适用限制，不用一次肝硬度值独立确定失代偿。</w:t>
      </w:r>
    </w:p>
    <w:p>
      <w:bookmarkStart w:id="6" w:name="s6"/>
      <w:pPr>
        <w:pStyle w:val="Heading1"/>
      </w:pPr>
      <w:r>
        <w:t>胃镜提取规则与报告模板</w:t>
      </w:r>
      <w:bookmarkEnd w:id="6"/>
    </w:p>
    <w:p>
      <w:pPr>
        <w:widowControl/>
      </w:pPr>
      <w:r>
        <w:t>提取检查日、检查方式和实际范围，食管及胃底、胃体、胃角、胃窦、幽门、十二指肠等仅记录实际观察部位；每病灶精确位置、大小、形态、溃疡/出血征象、分型来源、活检及真实内镜诊断。未描述部位不能补“正常”。检查方式为镇静时仅链接真实麻醉记录，不能推用药。</w:t>
      </w:r>
    </w:p>
    <w:p>
      <w:pPr>
        <w:widowControl/>
      </w:pPr>
      <w:r>
        <w:t>【记录日期时间】 胃镜临床分析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【检查日】胃镜实际观察【范围】，于【病灶L1位置】见【大小形态及征象】，已【实际取材或治疗】，对应【标本信息】。内镜诊断为【原有确定度】，病理【真实状态】。当前支持【临床判断】，尚不能确定【证据缺口】，后续【经确认安排】。</w:t>
      </w:r>
    </w:p>
    <w:p>
      <w:pPr>
        <w:pStyle w:val="Code"/>
      </w:pPr>
      <w:r>
        <w:t>```</w:t>
      </w:r>
    </w:p>
    <w:p>
      <w:bookmarkStart w:id="7" w:name="s7"/>
      <w:pPr>
        <w:pStyle w:val="Heading1"/>
      </w:pPr>
      <w:r>
        <w:t>肠镜提取规则与报告模板</w:t>
      </w:r>
      <w:bookmarkEnd w:id="7"/>
    </w:p>
    <w:p>
      <w:pPr>
        <w:widowControl/>
      </w:pPr>
      <w:r>
        <w:t>必须记录检查日、实际到达部位、未完成原因及准备质量原评分如报告提供；结肠各节段与末端回肠仅实际进入后记录。每个息肉、肿物、溃疡的节段、距离或位置、数量大小形态、活检切除分别提取。完成肠镜不代表到回盲部；距肛缘描述不能擅自换算为结肠节段。</w:t>
      </w:r>
    </w:p>
    <w:p>
      <w:pPr>
        <w:widowControl/>
      </w:pPr>
      <w:r>
        <w:t>【记录日期时间】 肠镜临床分析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【检查日】肠镜到达【原报告部位】，肠道准备【原报告质量】，实际所见【各节段关键异常】。病灶【L1位置大小形态】行【实际方式】，标本【S1】；病灶【L2资料及实际状态】，标本【S2如有】。病理分别为【已回结果或待回状态】，各病灶诊断及后续安排分别依据对应证据确定。</w:t>
      </w:r>
    </w:p>
    <w:p>
      <w:pPr>
        <w:pStyle w:val="Code"/>
      </w:pPr>
      <w:r>
        <w:t>```</w:t>
      </w:r>
    </w:p>
    <w:p>
      <w:bookmarkStart w:id="8" w:name="s8"/>
      <w:pPr>
        <w:pStyle w:val="Heading1"/>
      </w:pPr>
      <w:r>
        <w:t>EUS ERCP 胶囊和小肠镜</w:t>
      </w:r>
      <w:bookmarkEnd w:id="8"/>
    </w:p>
    <w:p>
      <w:pPr>
        <w:widowControl/>
      </w:pPr>
      <w:r>
        <w:t>EUS记录器官、部位、层次来源、大小回声、边界、管道/血管/淋巴结关系；检查、FNA、FNB分别记录。穿刺靶点、针数型号、次数和快速细胞评价仅有原文才填；未穿刺不写病理待回，阴性取材不自动排除恶性。</w:t>
      </w:r>
    </w:p>
    <w:p>
      <w:pPr>
        <w:widowControl/>
      </w:pPr>
      <w:r>
        <w:t>ERCP分别记录实际插管、造影、括约肌切开、扩张、取石、碎石、引流和支架，任何步骤不由名称自动推出；取出部分结石不能写完全清除，残余与通畅依据保留。胶囊内镜记录准备、完成情况和定位局限，不能把估计小肠段当精确距离；疑狭窄时适应性和滞留风险需临床评估。小肠镜记录经口/经肛、实际范围、标记、病灶和取材，不补全肠检查。</w:t>
      </w:r>
    </w:p>
    <w:p>
      <w:bookmarkStart w:id="9" w:name="s9"/>
      <w:pPr>
        <w:pStyle w:val="Heading1"/>
      </w:pPr>
      <w:r>
        <w:t>病理归属与证据层级</w:t>
      </w:r>
      <w:bookmarkEnd w:id="9"/>
    </w:p>
    <w:p>
      <w:pPr>
        <w:widowControl/>
      </w:pPr>
      <w:r>
        <w:t>先核患者、送检时间、内镜/操作事件、解剖部位、lesion_id、瓶号、specimen_id及病理号。活检病理、息肉切除、EMR/ESD、细胞学与组织学分开。记录组织学类型、异型增生程度、分化、浸润层次和深度、水平/垂直切缘、淋巴血管侵犯、溃疡、标本完整性；免疫组化与分子结果保持病灶和版本归属。未评价项目写不可评价或未提供，不默认阴性。</w:t>
      </w:r>
    </w:p>
    <w:p>
      <w:pPr>
        <w:widowControl/>
      </w:pPr>
      <w:r>
        <w:t>完整切除的判断分内镜技术完成、整块或分片、病理R0以及器官特异治愈性评价。胃、食管鳞癌和结直肠浅表癌规则分别核，不能把胃eCura套用结直肠癌。R0并不独立证明无淋巴结转移风险。</w:t>
      </w:r>
    </w:p>
    <w:p>
      <w:pPr>
        <w:widowControl/>
      </w:pPr>
      <w:r>
        <w:t>一瓶多灶不能强行一对一；未回收标本不写病理待回；切除病理与活检不一致需复核病灶映射、取材范围和病理版本，保持原报告不改。补充免疫组化未完成不能冒写最终亚型。</w:t>
      </w:r>
    </w:p>
    <w:p>
      <w:pPr>
        <w:widowControl/>
      </w:pPr>
      <w:r>
        <w:t>【记录日期时间】 内镜切除病理回报分析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【操作日及事件】中【病灶位置及编号】的【活检或切除标本号】于【回报时点】回报【病理关键原结论】。本结果对应【唯一病灶或混瓶集合】，标本完整性【资料】，水平/垂直切缘【原报告】，浸润及脉管侵犯【原报告】。结合【相应器官证据】，目前可评价【结论与局限】，尚需【缺项复核或MDT】，原诊断从【旧确定度】修正为【新确定度】。</w:t>
      </w:r>
    </w:p>
    <w:p>
      <w:pPr>
        <w:pStyle w:val="Code"/>
      </w:pPr>
      <w:r>
        <w:t>```</w:t>
      </w:r>
    </w:p>
    <w:p>
      <w:bookmarkStart w:id="10" w:name="s10"/>
      <w:pPr>
        <w:pStyle w:val="Heading1"/>
      </w:pPr>
      <w:r>
        <w:t>多病灶虚构病例</w:t>
      </w:r>
      <w:bookmarkEnd w:id="10"/>
    </w:p>
    <w:p>
      <w:pPr>
        <w:widowControl/>
      </w:pPr>
      <w:r>
        <w:t>SIM-GI-04/E01，P1肠镜L1升结肠8 mm冷切S1、L2直肠5 mm活检S2，10月26日S1管状腺瘤低级别、S2增生性息肉。仅L1技术切除，L2仅活检；不能把直肠病灶认作腺瘤，也不能称两个息肉均已完整切除。</w:t>
      </w:r>
    </w:p>
    <w:p>
      <w:pPr>
        <w:widowControl/>
      </w:pPr>
      <w:r>
        <w:t>2026年10月26日 11:00 病理分析记录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本次肠镜升结肠病灶冷圈套切除标本S1病理为管状腺瘤伴低级别上皮内瘤变，直肠病灶活检标本S2病理为增生性息肉。两份病理分别对应各自病灶，直肠病灶仅有活检完成证据，不能据此认定已完整切除；升结肠病灶切缘和后续复查安排仍需结合原病理与医师评估。</w:t>
      </w:r>
    </w:p>
    <w:p>
      <w:pPr>
        <w:pStyle w:val="Code"/>
      </w:pPr>
      <w:r>
        <w:t>```</w:t>
      </w:r>
    </w:p>
    <w:p>
      <w:bookmarkStart w:id="11" w:name="s11"/>
      <w:pPr>
        <w:pStyle w:val="Heading1"/>
      </w:pPr>
      <w:r>
        <w:t>病理待回的强制前置核验</w:t>
      </w:r>
      <w:bookmarkEnd w:id="11"/>
    </w:p>
    <w:p>
      <w:pPr>
        <w:widowControl/>
      </w:pPr>
      <w:r>
        <w:t>“病理待回”必须有相应患者和病灶的已取材及送检来源；未取材、拟取材、标本未回收或取材后未确认送检均不得自动写送检待回。若仅知道已取材而送检不明，明确记录送检状态待核。该约束同样适用于模拟示例和从旧病程复制的句子。</w:t>
      </w:r>
    </w:p>
    <w:p>
      <w:bookmarkStart w:id="12" w:name="s12"/>
      <w:pPr>
        <w:pStyle w:val="Heading1"/>
      </w:pPr>
      <w:r>
        <w:t>事实限制 常见错误及质控</w:t>
      </w:r>
      <w:bookmarkEnd w:id="12"/>
    </w:p>
    <w:p>
      <w:pPr>
        <w:widowControl/>
      </w:pPr>
      <w:r>
        <w:t>患者真实资料高于通用模板和医学知识。每条事实绑定patient_id、encounter_id、来源、event_time和available_time；未提供、未做、阴性、阳性和冲突分开。不得编造当日查体、生命体征、检查数值、内镜到达部位、病灶数量大小、活检、器械、夹数、麻醉、治疗执行、病理、分期、会诊、知情沟通或医师意见。历史资料明确日期；当日症状与查体不从昨日自动继承。正式意见由实际责任医师审核签署。</w:t>
      </w:r>
    </w:p>
    <w:p>
      <w:pPr>
        <w:widowControl/>
      </w:pPr>
      <w:r>
        <w:t>逐份核身份、项目时间、原文字词、单位参考、到达范围、病灶位置、取材类型、瓶号病理号与回报时间；重要映射冲突阻断病理诊断净稿。</w:t>
      </w:r>
    </w:p>
    <w:p>
      <w:pPr>
        <w:widowControl/>
      </w:pPr>
      <w:r>
        <w:t>不得将模板建议改写成已执行处置。症状减轻不等于黏膜愈合，技术完成不等于病理治愈，未记录并发症不等于已经排除。</w:t>
      </w:r>
    </w:p>
    <w:p>
      <w:bookmarkStart w:id="13" w:name="s13"/>
      <w:pPr>
        <w:pStyle w:val="Heading1"/>
      </w:pPr>
      <w:r>
        <w:t>协同与维护</w:t>
      </w:r>
      <w:bookmarkEnd w:id="13"/>
    </w:p>
    <w:p>
      <w:pPr>
        <w:widowControl/>
      </w:pPr>
      <w:r>
        <w:t>00为唯一入口，01最高规则，11管理身份和事件，02—09提供任务功能，101—108补充对应疾病知识，10输出前终审。只读取本任务所需模块，冲突按01处理，不重复拼接正文。季度复核指南版本，新增指南、药物说明书或院内流程变化时由消化、内镜、麻醉、病理与病案质控人员按职责修订；保留修订人、日期、原因、受影响条款和回归用例。</w:t>
      </w:r>
    </w:p>
    <w:p>
      <w:bookmarkStart w:id="14" w:name="s14"/>
      <w:pPr>
        <w:pStyle w:val="Heading1"/>
      </w:pPr>
      <w:r>
        <w:t>指南版本和适用章节</w:t>
      </w:r>
      <w:bookmarkEnd w:id="14"/>
    </w:p>
    <w:p>
      <w:pPr>
        <w:widowControl/>
      </w:pPr>
      <w:r>
        <w:t>核验基准日2026-10-26。来源编号及准确名称、发布机构、年份、可访问层级与链接见本章记录。书目或摘要不能代替全文推荐；未核原文的精确阈值、剂量、证据等级和固定复查间隔不成为自动生成规则。国际文献仅补充适用的定义和方法，须结合中国规范及院内授权。</w:t>
      </w:r>
    </w:p>
    <w:p>
      <w:pPr>
        <w:widowControl/>
      </w:pPr>
      <w:r>
        <w:t>R07—R12用于胃食管、胃炎、Hp和IBD证据；R13—R17用于肝胆胰结果解释；R20—R24用于内镜取材和切除后病理评价；R25用于胃癌和分期边界。</w:t>
      </w:r>
    </w:p>
    <w:p>
      <w:bookmarkStart w:id="15" w:name="s15"/>
      <w:pPr>
        <w:pStyle w:val="Heading1"/>
      </w:pPr>
      <w:r>
        <w:t>逐条来源核验登记</w:t>
      </w:r>
      <w:bookmarkEnd w:id="15"/>
    </w:p>
    <w:p>
      <w:pPr>
        <w:pStyle w:val="Heading2"/>
      </w:pPr>
      <w:r>
        <w:t>R07 中国胃食管反流病诊疗规范</w:t>
      </w:r>
    </w:p>
    <w:p>
      <w:pPr>
        <w:widowControl/>
      </w:pPr>
      <w:r>
        <w:t>发布机构：中国健康促进基金会及中华医学会消化病学分会相关学组 协作组。版本年份：2023。核验日期：2026-10-26。</w:t>
      </w:r>
    </w:p>
    <w:p>
      <w:pPr>
        <w:widowControl/>
      </w:pPr>
      <w:r>
        <w:t>实际核验层级：原刊正文页面与摘要可访问。</w:t>
      </w:r>
    </w:p>
    <w:p>
      <w:pPr>
        <w:widowControl/>
      </w:pPr>
      <w:r>
        <w:t>适用章节：101反流诊断流程 内镜和功能检查边界。</w:t>
      </w:r>
    </w:p>
    <w:p>
      <w:pPr>
        <w:widowControl/>
      </w:pPr>
      <w:r>
        <w:t>来源：https://cs.medjournals.cn/article/en/doi/full/10.3760/cma.j.cn311367-20230626-00289</w:t>
      </w:r>
    </w:p>
    <w:p>
      <w:pPr>
        <w:widowControl/>
      </w:pPr>
      <w:r>
        <w:t>DOI：10.3760/cma.j.cn311367-20230626-00289</w:t>
      </w:r>
    </w:p>
    <w:p>
      <w:pPr>
        <w:pStyle w:val="Heading2"/>
      </w:pPr>
      <w:r>
        <w:t>R08 中国慢性胃炎诊治指南 2022年 上海</w:t>
      </w:r>
    </w:p>
    <w:p>
      <w:pPr>
        <w:widowControl/>
      </w:pPr>
      <w:r>
        <w:t>发布机构：中华医学会消化病学分会。版本年份：2022版 2023发表。核验日期：2026-10-26。</w:t>
      </w:r>
    </w:p>
    <w:p>
      <w:pPr>
        <w:widowControl/>
      </w:pPr>
      <w:r>
        <w:t>实际核验层级：原刊题录与试读；全文需权限；大学机构库仅作辅助题录比对。</w:t>
      </w:r>
    </w:p>
    <w:p>
      <w:pPr>
        <w:widowControl/>
      </w:pPr>
      <w:r>
        <w:t>适用章节：102胃炎 萎缩肠化 病理分层及风险随访。</w:t>
      </w:r>
    </w:p>
    <w:p>
      <w:pPr>
        <w:widowControl/>
      </w:pPr>
      <w:r>
        <w:t>来源：https://rs.yiigle.com/cmaid/1457467</w:t>
      </w:r>
    </w:p>
    <w:p>
      <w:pPr>
        <w:pStyle w:val="Heading2"/>
      </w:pPr>
      <w:r>
        <w:t>R09 2022中国幽门螺杆菌感染治疗指南 及2026成人实践指南更新</w:t>
      </w:r>
    </w:p>
    <w:p>
      <w:pPr>
        <w:widowControl/>
      </w:pPr>
      <w:r>
        <w:t>发布机构：中华医学会消化病学分会幽门螺杆菌学组。版本年份：2022及2026。核验日期：2026-10-26。</w:t>
      </w:r>
    </w:p>
    <w:p>
      <w:pPr>
        <w:widowControl/>
      </w:pPr>
      <w:r>
        <w:t>实际核验层级：2026原始指南PubMed题录摘要及原刊目录已核；未获取2026全文。2022学会正文 https://www.jsma.net.cn/cn/zwh/content.aspx?committeeId=97&amp;oid=62087 可访问。2022不得称最新版。</w:t>
      </w:r>
    </w:p>
    <w:p>
      <w:pPr>
        <w:widowControl/>
      </w:pPr>
      <w:r>
        <w:t>适用章节：102和07现症感染 用药史 个体根除和复查；不从摘要自动填新方案剂量。</w:t>
      </w:r>
    </w:p>
    <w:p>
      <w:pPr>
        <w:widowControl/>
      </w:pPr>
      <w:r>
        <w:t>来源：https://pubmed.ncbi.nlm.nih.gov/42427040/</w:t>
      </w:r>
    </w:p>
    <w:p>
      <w:pPr>
        <w:widowControl/>
      </w:pPr>
      <w:r>
        <w:t>DOI：2026 10.3760/cma.j.cn112138-20260330-00183；2022 10.3760/cma.j.cn311367-20220929-00479</w:t>
      </w:r>
    </w:p>
    <w:p>
      <w:pPr>
        <w:pStyle w:val="Heading2"/>
      </w:pPr>
      <w:r>
        <w:t>R10 中国溃疡性结肠炎诊治指南 2023年 西安</w:t>
      </w:r>
    </w:p>
    <w:p>
      <w:pPr>
        <w:widowControl/>
      </w:pPr>
      <w:r>
        <w:t>发布机构：中华医学会消化病学分会炎症性肠病学组等 原刊署名为准。版本年份：2023版 2024发表。核验日期：2026-10-26。</w:t>
      </w:r>
    </w:p>
    <w:p>
      <w:pPr>
        <w:widowControl/>
      </w:pPr>
      <w:r>
        <w:t>实际核验层级：原刊指南专题题录和摘要；未获得全篇授权正文。</w:t>
      </w:r>
    </w:p>
    <w:p>
      <w:pPr>
        <w:widowControl/>
      </w:pPr>
      <w:r>
        <w:t>适用章节：104诊断证据 范围活动与治疗目标。</w:t>
      </w:r>
    </w:p>
    <w:p>
      <w:pPr>
        <w:widowControl/>
      </w:pPr>
      <w:r>
        <w:t>来源：https://zhyxcbzz.yiigle.com/topic/113.jspx</w:t>
      </w:r>
    </w:p>
    <w:p>
      <w:pPr>
        <w:widowControl/>
      </w:pPr>
      <w:r>
        <w:t>DOI：10.3760/cma.j.cn101480-20240123-00017</w:t>
      </w:r>
    </w:p>
    <w:p>
      <w:pPr>
        <w:pStyle w:val="Heading2"/>
      </w:pPr>
      <w:r>
        <w:t>R11 中国克罗恩病诊治指南 2023年 广州</w:t>
      </w:r>
    </w:p>
    <w:p>
      <w:pPr>
        <w:widowControl/>
      </w:pPr>
      <w:r>
        <w:t>发布机构：中华医学会消化病学分会炎症性肠病学组等 原刊署名为准。版本年份：2023版 2024发表。核验日期：2026-10-26。</w:t>
      </w:r>
    </w:p>
    <w:p>
      <w:pPr>
        <w:widowControl/>
      </w:pPr>
      <w:r>
        <w:t>实际核验层级：原刊指南专题题录和摘要；精确推荐待全文核对。</w:t>
      </w:r>
    </w:p>
    <w:p>
      <w:pPr>
        <w:widowControl/>
      </w:pPr>
      <w:r>
        <w:t>适用章节：104综合诊断 结构并发症与长期目标。</w:t>
      </w:r>
    </w:p>
    <w:p>
      <w:pPr>
        <w:widowControl/>
      </w:pPr>
      <w:r>
        <w:t>来源：https://zhyxcbzz.yiigle.com/topic/113.jspx</w:t>
      </w:r>
    </w:p>
    <w:p>
      <w:pPr>
        <w:widowControl/>
      </w:pPr>
      <w:r>
        <w:t>DOI：10.3760/cma.j.cn101480-20240108-00006</w:t>
      </w:r>
    </w:p>
    <w:p>
      <w:pPr>
        <w:pStyle w:val="Heading2"/>
      </w:pPr>
      <w:r>
        <w:t>R13 肝硬化临床诊治管理指南 2025版</w:t>
      </w:r>
    </w:p>
    <w:p>
      <w:pPr>
        <w:widowControl/>
      </w:pPr>
      <w:r>
        <w:t>发布机构：中华医学会肝病学分会。版本年份：2025。核验日期：2026-10-26。</w:t>
      </w:r>
    </w:p>
    <w:p>
      <w:pPr>
        <w:widowControl/>
      </w:pPr>
      <w:r>
        <w:t>实际核验层级：原始中文指南索引和可检索正文片段，直接全文页遇验证；不声称全文全部推荐复核。</w:t>
      </w:r>
    </w:p>
    <w:p>
      <w:pPr>
        <w:widowControl/>
      </w:pPr>
      <w:r>
        <w:t>适用章节：105肝硬化病因 储备 失代偿与长期管理。</w:t>
      </w:r>
    </w:p>
    <w:p>
      <w:pPr>
        <w:widowControl/>
      </w:pPr>
      <w:r>
        <w:t>来源：https://pmc.ncbi.nlm.nih.gov/articles/PMC12861852/</w:t>
      </w:r>
    </w:p>
    <w:p>
      <w:pPr>
        <w:widowControl/>
      </w:pPr>
      <w:r>
        <w:t>DOI：10.3760/cma.j.cn501113-20250728-00298</w:t>
      </w:r>
    </w:p>
    <w:p>
      <w:pPr>
        <w:pStyle w:val="Heading2"/>
      </w:pPr>
      <w:r>
        <w:t>R16 中国急性胰腺炎诊治指南 2021</w:t>
      </w:r>
    </w:p>
    <w:p>
      <w:pPr>
        <w:widowControl/>
      </w:pPr>
      <w:r>
        <w:t>发布机构：中华医学会外科学分会胰腺外科学组等原刊作者组。版本年份：2021。核验日期：2026-10-26。</w:t>
      </w:r>
    </w:p>
    <w:p>
      <w:pPr>
        <w:widowControl/>
      </w:pPr>
      <w:r>
        <w:t>实际核验层级：原刊题录摘要可核；作为已核中国基础版，不宣称最新或穷尽后续更新。</w:t>
      </w:r>
    </w:p>
    <w:p>
      <w:pPr>
        <w:widowControl/>
      </w:pPr>
      <w:r>
        <w:t>适用章节：106及107胰腺炎诊断与动态严重度。</w:t>
      </w:r>
    </w:p>
    <w:p>
      <w:pPr>
        <w:widowControl/>
      </w:pPr>
      <w:r>
        <w:t>来源：https://rs.yiigle.com/cmaid/1331236</w:t>
      </w:r>
    </w:p>
    <w:p>
      <w:pPr>
        <w:pStyle w:val="Heading2"/>
      </w:pPr>
      <w:r>
        <w:t>R19 中国ERCP指南 2018版</w:t>
      </w:r>
    </w:p>
    <w:p>
      <w:pPr>
        <w:widowControl/>
      </w:pPr>
      <w:r>
        <w:t>发布机构：中华医学会消化内镜学分会ERCP学组 中国医师协会消化医师分会胆胰学组 国家消化系统疾病临床医学研究中心。版本年份：2018。核验日期：2026-10-26。</w:t>
      </w:r>
    </w:p>
    <w:p>
      <w:pPr>
        <w:widowControl/>
      </w:pPr>
      <w:r>
        <w:t>实际核验层级：原始指南题名署名及期刊PDF首页索引可核；全文推荐未逐条复核，不称2018为最新。</w:t>
      </w:r>
    </w:p>
    <w:p>
      <w:pPr>
        <w:widowControl/>
      </w:pPr>
      <w:r>
        <w:t>适用章节：05及106 ERCP实际步骤 取石支架与并发症。</w:t>
      </w:r>
    </w:p>
    <w:p>
      <w:pPr>
        <w:widowControl/>
      </w:pPr>
      <w:r>
        <w:t>来源：https://doi.org/10.3760/cma.j.issn.1007-5232.2018.11.001</w:t>
      </w:r>
    </w:p>
    <w:p>
      <w:pPr>
        <w:widowControl/>
      </w:pPr>
      <w:r>
        <w:t>DOI：10.3760/cma.j.issn.1007-5232.2018.11.001</w:t>
      </w:r>
    </w:p>
    <w:p>
      <w:pPr>
        <w:pStyle w:val="Heading2"/>
      </w:pPr>
      <w:r>
        <w:t>R20 中国内镜超声引导下细针穿刺抽吸 活体组织检查术应用指南 精简版 2021年 上海</w:t>
      </w:r>
    </w:p>
    <w:p>
      <w:pPr>
        <w:widowControl/>
      </w:pPr>
      <w:r>
        <w:t>发布机构：中国医师协会超声内镜专家委员会。版本年份：2021。核验日期：2026-10-26。</w:t>
      </w:r>
    </w:p>
    <w:p>
      <w:pPr>
        <w:widowControl/>
      </w:pPr>
      <w:r>
        <w:t>实际核验层级：承办学会原始指南精简版正文已访问；旧抗栓条款与现行适用来源需并列权衡。</w:t>
      </w:r>
    </w:p>
    <w:p>
      <w:pPr>
        <w:widowControl/>
      </w:pPr>
      <w:r>
        <w:t>适用章节：04 05及106 EUS取材适应性 标本和阴性局限。</w:t>
      </w:r>
    </w:p>
    <w:p>
      <w:pPr>
        <w:widowControl/>
      </w:pPr>
      <w:r>
        <w:t>来源：https://www.shsma.org.cn/web/weixin/13209</w:t>
      </w:r>
    </w:p>
    <w:p>
      <w:pPr>
        <w:widowControl/>
      </w:pPr>
      <w:r>
        <w:t>DOI：10.3760/cma.j.cn311367-20210514-00280</w:t>
      </w:r>
    </w:p>
    <w:p>
      <w:pPr>
        <w:pStyle w:val="Heading2"/>
      </w:pPr>
      <w:r>
        <w:t>R22 中国结直肠息肉冷切专家共识 2023年 杭州</w:t>
      </w:r>
    </w:p>
    <w:p>
      <w:pPr>
        <w:widowControl/>
      </w:pPr>
      <w:r>
        <w:t>发布机构：中华医学会消化内镜学分会。版本年份：2023。核验日期：2026-10-26。</w:t>
      </w:r>
    </w:p>
    <w:p>
      <w:pPr>
        <w:widowControl/>
      </w:pPr>
      <w:r>
        <w:t>实际核验层级：原刊题录和正文页面可访问。</w:t>
      </w:r>
    </w:p>
    <w:p>
      <w:pPr>
        <w:widowControl/>
      </w:pPr>
      <w:r>
        <w:t>适用章节：05及108冷切与其他方式分开 切除和病理评价。</w:t>
      </w:r>
    </w:p>
    <w:p>
      <w:pPr>
        <w:widowControl/>
      </w:pPr>
      <w:r>
        <w:t>来源：https://zhwcnjdzzz.cma-cmc.com.cn/CN/10.3877/cma.j.issn.2095-7157.2023.02.001</w:t>
      </w:r>
    </w:p>
    <w:p>
      <w:pPr>
        <w:widowControl/>
      </w:pPr>
      <w:r>
        <w:t>DOI：10.3877/cma.j.issn.2095-7157.2023.02.001</w:t>
      </w:r>
    </w:p>
    <w:p>
      <w:pPr>
        <w:pStyle w:val="Heading2"/>
      </w:pPr>
      <w:r>
        <w:t>R23 胃内镜黏膜下剥离术围手术期指南 2025版 及中国早期胃癌内镜诊治共识 2023 太原</w:t>
      </w:r>
    </w:p>
    <w:p>
      <w:pPr>
        <w:widowControl/>
      </w:pPr>
      <w:r>
        <w:t>发布机构：胃ESD 国家消化系统疾病临床医学研究中心 中华医学会消化内镜学分会 中国医师协会消化医师分会；早胃癌 中华医学会消化内镜学分会。版本年份：2025及2023版。核验日期：2026-10-26。</w:t>
      </w:r>
    </w:p>
    <w:p>
      <w:pPr>
        <w:widowControl/>
      </w:pPr>
      <w:r>
        <w:t>实际核验层级：2025原刊PDF链接获取失败，题录信息待原刊全文进一步核；2023太原原始文献SinoMed记录可核 https://www.sinomed.ac.cn/article.do?ui=2024383721 。不把解读或2017旧文当2025原文。</w:t>
      </w:r>
    </w:p>
    <w:p>
      <w:pPr>
        <w:widowControl/>
      </w:pPr>
      <w:r>
        <w:t>适用章节：05及108胃ESD围期资料要求与病理治愈性边界；不固化未核精确阈值。</w:t>
      </w:r>
    </w:p>
    <w:p>
      <w:pPr>
        <w:widowControl/>
      </w:pPr>
      <w:r>
        <w:t>来源：https://doi.org/10.3760/cma.j.cn321463-20250110-00017</w:t>
      </w:r>
    </w:p>
    <w:p>
      <w:pPr>
        <w:widowControl/>
      </w:pPr>
      <w:r>
        <w:t>DOI：2025 10.3760/cma.j.cn321463-20250110-00017</w:t>
      </w:r>
    </w:p>
    <w:p>
      <w:pPr>
        <w:pStyle w:val="Heading2"/>
      </w:pPr>
      <w:r>
        <w:t>R24 Colorectal polypectomy and endoscopic mucosal resection ESGE Guideline Update 2024</w:t>
      </w:r>
    </w:p>
    <w:p>
      <w:pPr>
        <w:widowControl/>
      </w:pPr>
      <w:r>
        <w:t>发布机构：ESGE。版本年份：2024。核验日期：2026-10-26。</w:t>
      </w:r>
    </w:p>
    <w:p>
      <w:pPr>
        <w:widowControl/>
      </w:pPr>
      <w:r>
        <w:t>实际核验层级：原始指南摘要和学会原始PDF https://www.esge.com/assets/downloads/pdfs/guidelines/2024_a-2304-3219.pdf 可查；国际补充。</w:t>
      </w:r>
    </w:p>
    <w:p>
      <w:pPr>
        <w:widowControl/>
      </w:pPr>
      <w:r>
        <w:t>适用章节：05及108结直肠切除方式和病理复评边界。</w:t>
      </w:r>
    </w:p>
    <w:p>
      <w:pPr>
        <w:widowControl/>
      </w:pPr>
      <w:r>
        <w:t>来源：https://pubmed.ncbi.nlm.nih.gov/38670139/</w:t>
      </w:r>
    </w:p>
    <w:p>
      <w:pPr>
        <w:pStyle w:val="Heading2"/>
      </w:pPr>
      <w:r>
        <w:t>R25 食管癌筛查与早诊早治方案 胃癌筛查与早诊早治方案 2024年版；胃癌诊疗指南2022年版</w:t>
      </w:r>
    </w:p>
    <w:p>
      <w:pPr>
        <w:widowControl/>
      </w:pPr>
      <w:r>
        <w:t>发布机构：国家卫生健康委办公厅；胃癌2022国家卫生健康委医政医管局。版本年份：2024及2022。核验日期：2026-10-26。</w:t>
      </w:r>
    </w:p>
    <w:p>
      <w:pPr>
        <w:widowControl/>
      </w:pPr>
      <w:r>
        <w:t>实际核验层级：2024官方方案正文；2022胃癌原刊记录 https://rs.yiigle.com/cmaid/1428599 。不是全消化肿瘤TNM通用更新。</w:t>
      </w:r>
    </w:p>
    <w:p>
      <w:pPr>
        <w:widowControl/>
      </w:pPr>
      <w:r>
        <w:t>适用章节：101 102 108癌前 早癌及病理分期所需字段；体系版本须另核。</w:t>
      </w:r>
    </w:p>
    <w:p>
      <w:pPr>
        <w:widowControl/>
      </w:pPr>
      <w:r>
        <w:t>来源：https://www.nhc.gov.cn/ylyjs/gzdt/202406/2bb28e7a39ce4734bee4e31ff5442e0f.shtml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04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iragino Sans GB" w:hAnsi="Hiragino Sans GB" w:eastAsia="Hiragino Sans GB" w:cs="Hiragino Sans G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Hiragino Sans GB" w:hAnsi="Hiragino Sans GB" w:eastAsia="Hiragino Sans GB" w:cs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Hiragino Sans GB" w:hAnsi="Hiragino Sans GB" w:eastAsia="Hiragino Sans GB" w:cs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Hiragino Sans GB" w:hAnsi="Hiragino Sans GB" w:eastAsia="Hiragino Sans GB" w:cs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="Hiragino Sans GB" w:hAnsi="Hiragino Sans GB" w:eastAsia="Hiragino Sans GB" w:cs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="Hiragino Sans GB" w:hAnsi="Hiragino Sans GB" w:eastAsia="Hiragino Sans GB" w:cs="Hiragino Sans GB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81" w:lineRule="auto" w:after="40"/>
    </w:pPr>
    <w:rPr>
      <w:rFonts w:ascii="Hiragino Sans GB" w:hAnsi="Hiragino Sans GB" w:eastAsia="Hiragino Sans GB" w:cs="Hiragino Sans GB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消化内科检验影像胃肠镜病理及特殊检查结果分析模板库</dc:title>
  <dc:subject>消化内科含胃肠镜AI病历书写系统V1.0</dc:subject>
  <dc:creator>病历模板库</dc:creator>
  <cp:keywords>消化内科 胃肠镜 医学文书 真实性 质控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