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06 消化内科急危重症内镜并发症及异常病情模板库</w:t>
      </w:r>
    </w:p>
    <w:p>
      <w:pPr>
        <w:pStyle w:val="Subtitle"/>
      </w:pPr>
      <w:r>
        <w:t>消化内科含胃肠镜AI病历书写系统 V1.0</w:t>
      </w:r>
    </w:p>
    <w:p>
      <w:r>
        <w:t>模块编号 06　版本 V1.0　所属层级 第二级 通用医学文书功能层</w:t>
      </w:r>
    </w:p>
    <w:p>
      <w:r>
        <w:t>建设及资料核验日期 2026年10月26日</w:t>
      </w:r>
    </w:p>
    <w:p>
      <w:r>
        <w:t>功能定位 35类急变 并发症和抢救闭环</w:t>
      </w:r>
    </w:p>
    <w:p>
      <w:r>
        <w:t>适用范围 中国医院消化内科病房 消化内镜中心及相关协作诊疗的医师文书辅助</w:t>
      </w:r>
    </w:p>
    <w:p>
      <w:r>
        <w:t>本文件提供拟稿、证据整理和质控规则。临床诊疗、内镜操作、麻醉、处方、知情同意及签名由具备权限的医务人员实施。</w:t>
      </w:r>
    </w:p>
    <w:p>
      <w:r>
        <w:br w:type="page"/>
      </w:r>
    </w:p>
    <w:p>
      <w:pPr>
        <w:pStyle w:val="Heading1"/>
      </w:pPr>
      <w:r>
        <w:t>目录</w:t>
      </w:r>
    </w:p>
    <w:p>
      <w:hyperlink w:anchor="s1">
        <w:r>
          <w:t>01  先处置后记录的工作顺序</w:t>
        </w:r>
      </w:hyperlink>
    </w:p>
    <w:p>
      <w:hyperlink w:anchor="s2">
        <w:r>
          <w:t>02  35类急变和并发症卡</w:t>
        </w:r>
      </w:hyperlink>
    </w:p>
    <w:p>
      <w:hyperlink w:anchor="s3">
        <w:r>
          <w:t>03  抢救记录完整结构</w:t>
        </w:r>
      </w:hyperlink>
    </w:p>
    <w:p>
      <w:hyperlink w:anchor="s4">
        <w:r>
          <w:t>04  虚构病例 穿孔待排</w:t>
        </w:r>
      </w:hyperlink>
    </w:p>
    <w:p>
      <w:hyperlink w:anchor="s5">
        <w:r>
          <w:t>05  事实限制 常见错误及质控</w:t>
        </w:r>
      </w:hyperlink>
    </w:p>
    <w:p>
      <w:hyperlink w:anchor="s6">
        <w:r>
          <w:t>06  协同与维护</w:t>
        </w:r>
      </w:hyperlink>
    </w:p>
    <w:p>
      <w:hyperlink w:anchor="s7">
        <w:r>
          <w:t>07  指南版本和适用章节</w:t>
        </w:r>
      </w:hyperlink>
    </w:p>
    <w:p>
      <w:hyperlink w:anchor="s8">
        <w:r>
          <w:t>08  逐条来源核验登记</w:t>
        </w:r>
      </w:hyperlink>
    </w:p>
    <w:p/>
    <w:p>
      <w:bookmarkStart w:id="1" w:name="s1"/>
      <w:pPr>
        <w:pStyle w:val="Heading1"/>
      </w:pPr>
      <w:r>
        <w:t>先处置后记录的工作顺序</w:t>
      </w:r>
      <w:bookmarkEnd w:id="1"/>
    </w:p>
    <w:p>
      <w:pPr>
        <w:widowControl/>
      </w:pPr>
      <w:r>
        <w:t>适用所有急变、出血、腹痛发热、操作并发症与抢救。必要资料为发生时间、当时症状、生命体征、当次腹部和全身实查、检验影像、操作与用药时点、真实处置和处理后复评。大量呕血、休克、严重腹痛伴腹膜刺激征或呼吸意识急变先提醒立即床旁评估并启动院内急救，不能等AI完成长文书。</w:t>
      </w:r>
    </w:p>
    <w:p>
      <w:pPr>
        <w:widowControl/>
      </w:pPr>
      <w:r>
        <w:t>每次按事件串联：发生时点→客观事实→有确定度的临床判断→实际执行与人员→反应和复测→后续计划。未知不填阴性，疑诊不改确诊，操作先后不证明因果。06负责事件和抢救文书，107补出血急症决策，器官专病只补病因差异，避免重复。</w:t>
      </w:r>
    </w:p>
    <w:p>
      <w:bookmarkStart w:id="2" w:name="s2"/>
      <w:pPr>
        <w:pStyle w:val="Heading1"/>
      </w:pPr>
      <w:r>
        <w:t>35类急变和并发症卡</w:t>
      </w:r>
      <w:bookmarkEnd w:id="2"/>
    </w:p>
    <w:p>
      <w:pPr>
        <w:pStyle w:val="Heading2"/>
      </w:pPr>
      <w:r>
        <w:t>01 急性上消化道出血</w:t>
      </w:r>
    </w:p>
    <w:p>
      <w:pPr>
        <w:widowControl/>
      </w:pPr>
      <w:r>
        <w:t>触发与必需证据：呕血黑便与循环、Hb、胃镜来源。鉴别和安全重点：排除咯血、鼻咽血吞入、铁铋染黑；循环气道优先。</w:t>
      </w:r>
    </w:p>
    <w:p>
      <w:pPr>
        <w:widowControl/>
      </w:pPr>
      <w:r>
        <w:t>【实际记录日期时间】 急性上消化道出血病情变化记录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02 急性下消化道出血</w:t>
      </w:r>
    </w:p>
    <w:p>
      <w:pPr>
        <w:widowControl/>
      </w:pPr>
      <w:r>
        <w:t>触发与必需证据：便血颜色量、循环、肠镜/CTA。鉴别和安全重点：大量上消化道出血也可便血，不凭颜色定位。</w:t>
      </w:r>
    </w:p>
    <w:p>
      <w:pPr>
        <w:widowControl/>
      </w:pPr>
      <w:r>
        <w:t>【实际记录日期时间】 急性下消化道出血病情变化记录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03 大量消化道出血</w:t>
      </w:r>
    </w:p>
    <w:p>
      <w:pPr>
        <w:widowControl/>
      </w:pPr>
      <w:r>
        <w:t>触发与必需证据：持续出血、灌注、Hb趋势和真实估量。鉴别和安全重点：不以患者估量替代精确失血量；启动院内急救协作。</w:t>
      </w:r>
    </w:p>
    <w:p>
      <w:pPr>
        <w:widowControl/>
      </w:pPr>
      <w:r>
        <w:t>【实际记录日期时间】 大量消化道出血病情变化记录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04 失血性休克</w:t>
      </w:r>
    </w:p>
    <w:p>
      <w:pPr>
        <w:widowControl/>
      </w:pPr>
      <w:r>
        <w:t>触发与必需证据：出血及循环灌注异常和其他原因鉴别。鉴别和安全重点：单个低血压不自动归因出血，需完整评估。</w:t>
      </w:r>
    </w:p>
    <w:p>
      <w:pPr>
        <w:widowControl/>
      </w:pPr>
      <w:r>
        <w:t>【实际记录日期时间】 失血性休克病情变化记录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05 食管胃静脉曲张出血</w:t>
      </w:r>
    </w:p>
    <w:p>
      <w:pPr>
        <w:widowControl/>
      </w:pPr>
      <w:r>
        <w:t>触发与必需证据：门静脉高压背景、内镜及出血征象。鉴别和安全重点：有曲张不等于本次出血源已证实。</w:t>
      </w:r>
    </w:p>
    <w:p>
      <w:pPr>
        <w:widowControl/>
      </w:pPr>
      <w:r>
        <w:t>【实际记录日期时间】 食管胃静脉曲张出血病情变化记录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06 溃疡活动性出血</w:t>
      </w:r>
    </w:p>
    <w:p>
      <w:pPr>
        <w:widowControl/>
      </w:pPr>
      <w:r>
        <w:t>触发与必需证据：溃疡位置和Forrest征象。鉴别和安全重点：仅既往溃疡史不能定位此次来源。</w:t>
      </w:r>
    </w:p>
    <w:p>
      <w:pPr>
        <w:widowControl/>
      </w:pPr>
      <w:r>
        <w:t>【实际记录日期时间】 溃疡活动性出血病情变化记录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07 消化道出血再发</w:t>
      </w:r>
    </w:p>
    <w:p>
      <w:pPr>
        <w:widowControl/>
      </w:pPr>
      <w:r>
        <w:t>触发与必需证据：曾止血或稳定证据后新出血及循环Hb变化。鉴别和安全重点：旧黑便残留与再出血区分。</w:t>
      </w:r>
    </w:p>
    <w:p>
      <w:pPr>
        <w:widowControl/>
      </w:pPr>
      <w:r>
        <w:t>【实际记录日期时间】 消化道出血再发病情变化记录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08 消化道穿孔</w:t>
      </w:r>
    </w:p>
    <w:p>
      <w:pPr>
        <w:widowControl/>
      </w:pPr>
      <w:r>
        <w:t>触发与必需证据：急痛、腹膜刺激、影像游离气体和定位。鉴别和安全重点：腹痛本身不足确诊，仍需紧急排查。</w:t>
      </w:r>
    </w:p>
    <w:p>
      <w:pPr>
        <w:widowControl/>
      </w:pPr>
      <w:r>
        <w:t>【实际记录日期时间】 消化道穿孔病情变化记录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09 内镜后穿孔</w:t>
      </w:r>
    </w:p>
    <w:p>
      <w:pPr>
        <w:widowControl/>
      </w:pPr>
      <w:r>
        <w:t>触发与必需证据：操作事件、疼痛腹征、影像或操作直接证据。鉴别和安全重点：迟发可能存在，初次阴性不保证后续排除。</w:t>
      </w:r>
    </w:p>
    <w:p>
      <w:pPr>
        <w:widowControl/>
      </w:pPr>
      <w:r>
        <w:t>【实际记录日期时间】 内镜后穿孔病情变化记录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10 活检后出血</w:t>
      </w:r>
    </w:p>
    <w:p>
      <w:pPr>
        <w:widowControl/>
      </w:pPr>
      <w:r>
        <w:t>触发与必需证据：真实取材及新出血时点、Hb和内镜。鉴别和安全重点：先核病灶与来源，不把所有便血归活检。</w:t>
      </w:r>
    </w:p>
    <w:p>
      <w:pPr>
        <w:widowControl/>
      </w:pPr>
      <w:r>
        <w:t>【实际记录日期时间】 活检后出血病情变化记录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11 息肉切除后出血</w:t>
      </w:r>
    </w:p>
    <w:p>
      <w:pPr>
        <w:widowControl/>
      </w:pPr>
      <w:r>
        <w:t>触发与必需证据：切除病灶、抗栓、出血和循环Hb。鉴别和安全重点：明确即时或迟发及实际止血情况。</w:t>
      </w:r>
    </w:p>
    <w:p>
      <w:pPr>
        <w:widowControl/>
      </w:pPr>
      <w:r>
        <w:t>【实际记录日期时间】 息肉切除后出血病情变化记录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12 EMR后出血</w:t>
      </w:r>
    </w:p>
    <w:p>
      <w:pPr>
        <w:widowControl/>
      </w:pPr>
      <w:r>
        <w:t>触发与必需证据：EMR事件和创面证据、迟发症状。鉴别和安全重点：不写成ESD后出血。</w:t>
      </w:r>
    </w:p>
    <w:p>
      <w:pPr>
        <w:widowControl/>
      </w:pPr>
      <w:r>
        <w:t>【实际记录日期时间】 EMR后出血病情变化记录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13 ESD后出血</w:t>
      </w:r>
    </w:p>
    <w:p>
      <w:pPr>
        <w:widowControl/>
      </w:pPr>
      <w:r>
        <w:t>触发与必需证据：ESD创面、出血发生时间、抗栓恢复。鉴别和安全重点：需要动态循环和再评估证据。</w:t>
      </w:r>
    </w:p>
    <w:p>
      <w:pPr>
        <w:widowControl/>
      </w:pPr>
      <w:r>
        <w:t>【实际记录日期时间】 ESD后出血病情变化记录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14 迟发性出血</w:t>
      </w:r>
    </w:p>
    <w:p>
      <w:pPr>
        <w:widowControl/>
      </w:pPr>
      <w:r>
        <w:t>触发与必需证据：具体操作及结束后发作时点。鉴别和安全重点：时间窗定义按采用规范说明，不能统一以某天数排除。</w:t>
      </w:r>
    </w:p>
    <w:p>
      <w:pPr>
        <w:widowControl/>
      </w:pPr>
      <w:r>
        <w:t>【实际记录日期时间】 迟发性出血病情变化记录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15 内镜后腹痛</w:t>
      </w:r>
    </w:p>
    <w:p>
      <w:pPr>
        <w:widowControl/>
      </w:pPr>
      <w:r>
        <w:t>触发与必需证据：部位强度、腹膜刺激、体温、影像。鉴别和安全重点：充气不适、电凝综合征、穿孔、胰腺炎等鉴别。</w:t>
      </w:r>
    </w:p>
    <w:p>
      <w:pPr>
        <w:widowControl/>
      </w:pPr>
      <w:r>
        <w:t>【实际记录日期时间】 内镜后腹痛病情变化记录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16 内镜后发热</w:t>
      </w:r>
    </w:p>
    <w:p>
      <w:pPr>
        <w:widowControl/>
      </w:pPr>
      <w:r>
        <w:t>触发与必需证据：发热曲线、症状、炎症培养、引流。鉴别和安全重点：感染、炎症反应、误吸等鉴别，不能单凭发热确诊。</w:t>
      </w:r>
    </w:p>
    <w:p>
      <w:pPr>
        <w:widowControl/>
      </w:pPr>
      <w:r>
        <w:t>【实际记录日期时间】 内镜后发热病情变化记录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17 操作后感染</w:t>
      </w:r>
    </w:p>
    <w:p>
      <w:pPr>
        <w:widowControl/>
      </w:pPr>
      <w:r>
        <w:t>触发与必需证据：感染灶、培养影像、时序与其他来源。鉴别和安全重点：操作相关性需证据，不以操作后即推因果。</w:t>
      </w:r>
    </w:p>
    <w:p>
      <w:pPr>
        <w:widowControl/>
      </w:pPr>
      <w:r>
        <w:t>【实际记录日期时间】 操作后感染病情变化记录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18 ERCP后胰腺炎</w:t>
      </w:r>
    </w:p>
    <w:p>
      <w:pPr>
        <w:widowControl/>
      </w:pPr>
      <w:r>
        <w:t>触发与必需证据：新发/加重腹痛、酶学参考上限及时点、住院影响。鉴别和安全重点：单纯高酶血症不等于PEP，诊断定义及严重度分别评价。</w:t>
      </w:r>
    </w:p>
    <w:p>
      <w:pPr>
        <w:widowControl/>
      </w:pPr>
      <w:r>
        <w:t>【实际记录日期时间】 ERCP后胰腺炎病情变化记录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19 ERCP相关出血穿孔</w:t>
      </w:r>
    </w:p>
    <w:p>
      <w:pPr>
        <w:widowControl/>
      </w:pPr>
      <w:r>
        <w:t>触发与必需证据：括约肌切开等实际步骤、消化道出血腹征影像。鉴别和安全重点：定位十二指肠/腹膜后等须有证据，不推分型。</w:t>
      </w:r>
    </w:p>
    <w:p>
      <w:pPr>
        <w:widowControl/>
      </w:pPr>
      <w:r>
        <w:t>【实际记录日期时间】 ERCP相关出血穿孔病情变化记录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20 胆管炎</w:t>
      </w:r>
    </w:p>
    <w:p>
      <w:pPr>
        <w:widowControl/>
      </w:pPr>
      <w:r>
        <w:t>触发与必需证据：全身炎症、胆汁淤积和影像梗阻。鉴别和安全重点：核引流通畅和器官功能，发热黄疸可需紧急协作。</w:t>
      </w:r>
    </w:p>
    <w:p>
      <w:pPr>
        <w:widowControl/>
      </w:pPr>
      <w:r>
        <w:t>【实际记录日期时间】 胆管炎病情变化记录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21 急性胰腺炎</w:t>
      </w:r>
    </w:p>
    <w:p>
      <w:pPr>
        <w:widowControl/>
      </w:pPr>
      <w:r>
        <w:t>触发与必需证据：符合诊断的症状酶学影像组合。鉴别和安全重点：不能仅淀粉酶高确诊，复苏和器官动态评估。</w:t>
      </w:r>
    </w:p>
    <w:p>
      <w:pPr>
        <w:widowControl/>
      </w:pPr>
      <w:r>
        <w:t>【实际记录日期时间】 急性胰腺炎病情变化记录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22 重症急性胰腺炎</w:t>
      </w:r>
    </w:p>
    <w:p>
      <w:pPr>
        <w:widowControl/>
      </w:pPr>
      <w:r>
        <w:t>触发与必需证据：持续器官功能衰竭时间、局部全身并发症。鉴别和安全重点：早期风险高不自动重症，酶值不分重症。</w:t>
      </w:r>
    </w:p>
    <w:p>
      <w:pPr>
        <w:widowControl/>
      </w:pPr>
      <w:r>
        <w:t>【实际记录日期时间】 重症急性胰腺炎病情变化记录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23 急性肝功能恶化</w:t>
      </w:r>
    </w:p>
    <w:p>
      <w:pPr>
        <w:widowControl/>
      </w:pPr>
      <w:r>
        <w:t>触发与必需证据：肝酶胆红素INR、意识血糖、时间与药物。鉴别和安全重点：肝酶下降不必然好转，合成功能和器官状态关键。</w:t>
      </w:r>
    </w:p>
    <w:p>
      <w:pPr>
        <w:widowControl/>
      </w:pPr>
      <w:r>
        <w:t>【实际记录日期时间】 急性肝功能恶化病情变化记录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24 急性肝衰竭</w:t>
      </w:r>
    </w:p>
    <w:p>
      <w:pPr>
        <w:widowControl/>
      </w:pPr>
      <w:r>
        <w:t>触发与必需证据：无既往背景、凝血意识及病程，注明采用定义。鉴别和安全重点：区分急性、亚急性和慢加急，不能一律按肝酶高诊断。</w:t>
      </w:r>
    </w:p>
    <w:p>
      <w:pPr>
        <w:widowControl/>
      </w:pPr>
      <w:r>
        <w:t>【实际记录日期时间】 急性肝衰竭病情变化记录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25 肝硬化急性失代偿</w:t>
      </w:r>
    </w:p>
    <w:p>
      <w:pPr>
        <w:widowControl/>
      </w:pPr>
      <w:r>
        <w:t>触发与必需证据：新腹水、脑病、出血、感染及器官状态。鉴别和安全重点：急性失代偿与ACLF不同，记录定义和缺项。</w:t>
      </w:r>
    </w:p>
    <w:p>
      <w:pPr>
        <w:widowControl/>
      </w:pPr>
      <w:r>
        <w:t>【实际记录日期时间】 肝硬化急性失代偿病情变化记录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26 肝性脑病</w:t>
      </w:r>
    </w:p>
    <w:p>
      <w:pPr>
        <w:widowControl/>
      </w:pPr>
      <w:r>
        <w:t>触发与必需证据：意识行为、肝病背景、诱因和其他脑病排除。鉴别和安全重点：血氨升高不独立确诊，正常不机械排除。</w:t>
      </w:r>
    </w:p>
    <w:p>
      <w:pPr>
        <w:widowControl/>
      </w:pPr>
      <w:r>
        <w:t>【实际记录日期时间】 肝性脑病病情变化记录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27 自发性细菌性腹膜炎</w:t>
      </w:r>
    </w:p>
    <w:p>
      <w:pPr>
        <w:widowControl/>
      </w:pPr>
      <w:r>
        <w:t>触发与必需证据：腹水细胞分类、培养及继发腹膜炎鉴别。鉴别和安全重点：腹水不自动SBP；采样与抗菌先后记录。</w:t>
      </w:r>
    </w:p>
    <w:p>
      <w:pPr>
        <w:widowControl/>
      </w:pPr>
      <w:r>
        <w:t>【实际记录日期时间】 自发性细菌性腹膜炎病情变化记录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28 消化道梗阻</w:t>
      </w:r>
    </w:p>
    <w:p>
      <w:pPr>
        <w:widowControl/>
      </w:pPr>
      <w:r>
        <w:t>触发与必需证据：呕吐腹胀、排气排便、影像与缺血穿孔线索。鉴别和安全重点：便秘不能直接肠梗阻，急诊外科协作需实际状态。</w:t>
      </w:r>
    </w:p>
    <w:p>
      <w:pPr>
        <w:widowControl/>
      </w:pPr>
      <w:r>
        <w:t>【实际记录日期时间】 消化道梗阻病情变化记录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29 严重腹泻脱水</w:t>
      </w:r>
    </w:p>
    <w:p>
      <w:pPr>
        <w:widowControl/>
      </w:pPr>
      <w:r>
        <w:t>触发与必需证据：次数、摄入出量、灌注、肾功能和病原。鉴别和安全重点：不自动感染性，记录实际补液和反应。</w:t>
      </w:r>
    </w:p>
    <w:p>
      <w:pPr>
        <w:widowControl/>
      </w:pPr>
      <w:r>
        <w:t>【实际记录日期时间】 严重腹泻脱水病情变化记录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30 严重电解质紊乱</w:t>
      </w:r>
    </w:p>
    <w:p>
      <w:pPr>
        <w:widowControl/>
      </w:pPr>
      <w:r>
        <w:t>触发与必需证据：数值单位、心电意识及复测。鉴别和安全重点：不编补充剂量与纠正速度，按实际医嘱记录。</w:t>
      </w:r>
    </w:p>
    <w:p>
      <w:pPr>
        <w:widowControl/>
      </w:pPr>
      <w:r>
        <w:t>【实际记录日期时间】 严重电解质紊乱病情变化记录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31 感染性休克</w:t>
      </w:r>
    </w:p>
    <w:p>
      <w:pPr>
        <w:widowControl/>
      </w:pPr>
      <w:r>
        <w:t>触发与必需证据：感染证据、循环与器官灌注、真实复苏支持。鉴别和安全重点：发热低血压不自动满足定义，记录诊断依据。</w:t>
      </w:r>
    </w:p>
    <w:p>
      <w:pPr>
        <w:widowControl/>
      </w:pPr>
      <w:r>
        <w:t>【实际记录日期时间】 感染性休克病情变化记录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32 严重营养障碍</w:t>
      </w:r>
    </w:p>
    <w:p>
      <w:pPr>
        <w:widowControl/>
      </w:pPr>
      <w:r>
        <w:t>触发与必需证据：摄入体重肌量、炎症和功能。鉴别和安全重点：再喂养风险、通路与监测，白蛋白单值不确诊。</w:t>
      </w:r>
    </w:p>
    <w:p>
      <w:pPr>
        <w:widowControl/>
      </w:pPr>
      <w:r>
        <w:t>【实际记录日期时间】 严重营养障碍病情变化记录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33 镇静麻醉呼吸循环异常</w:t>
      </w:r>
    </w:p>
    <w:p>
      <w:pPr>
        <w:widowControl/>
      </w:pPr>
      <w:r>
        <w:t>触发与必需证据：麻醉时间、SpO2呼吸血压、真实气道和用药。鉴别和安全重点：先现场急救与麻醉团队；不能编复苏步骤。</w:t>
      </w:r>
    </w:p>
    <w:p>
      <w:pPr>
        <w:widowControl/>
      </w:pPr>
      <w:r>
        <w:t>【实际记录日期时间】 镇静麻醉呼吸循环异常病情变化记录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34 误吸</w:t>
      </w:r>
    </w:p>
    <w:p>
      <w:pPr>
        <w:widowControl/>
      </w:pPr>
      <w:r>
        <w:t>触发与必需证据：呕吐反流、气道事件、氧合及影像。鉴别和安全重点：误吸事件、化学性肺炎和细菌感染分开。</w:t>
      </w:r>
    </w:p>
    <w:p>
      <w:pPr>
        <w:widowControl/>
      </w:pPr>
      <w:r>
        <w:t>【实际记录日期时间】 误吸病情变化记录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pPr>
        <w:pStyle w:val="Heading2"/>
      </w:pPr>
      <w:r>
        <w:t>35 心肺复苏抢救</w:t>
      </w:r>
    </w:p>
    <w:p>
      <w:pPr>
        <w:widowControl/>
      </w:pPr>
      <w:r>
        <w:t>触发与必需证据：骤停识别、节律、实际按压除颤用药和恢复时点。鉴别和安全重点：只写已实施，人员、剂量、ROSC与结果须实证。</w:t>
      </w:r>
    </w:p>
    <w:p>
      <w:pPr>
        <w:widowControl/>
      </w:pPr>
      <w:r>
        <w:t>【实际记录日期时间】 心肺复苏抢救病情变化记录</w:t>
      </w:r>
    </w:p>
    <w:p>
      <w:pPr>
        <w:pStyle w:val="Code"/>
      </w:pPr>
      <w:r>
        <w:t>```text</w:t>
      </w:r>
    </w:p>
    <w:p>
      <w:pPr>
        <w:pStyle w:val="Code"/>
        <w:keepLines w:val="0"/>
        <w:widowControl/>
      </w:pPr>
      <w:r>
        <w:t>患者于【发生时点】出现【真实症状及变化】，当时生命体征【实测】，查体【腹征及相关器官实查】，检查【真实项目结果及时间】。结合【已有依据】考虑【本事件诊断和确定度】，尚需鉴别【本卡替代解释】。已实际采取【真实处置及必要时点】，处理后【复评证据】，拟按责任团队意见【后续监测及协作计划】。</w:t>
      </w:r>
    </w:p>
    <w:p>
      <w:pPr>
        <w:pStyle w:val="Code"/>
      </w:pPr>
      <w:r>
        <w:t>```</w:t>
      </w:r>
    </w:p>
    <w:p>
      <w:pPr>
        <w:widowControl/>
      </w:pPr>
      <w:r>
        <w:t>不得填写未实施的输血、止血、手术、用药、插管或会诊。事件未确诊时标题改为真实症状或“待排”，不能因模板标题强行确诊。</w:t>
      </w:r>
    </w:p>
    <w:p>
      <w:bookmarkStart w:id="3" w:name="s3"/>
      <w:pPr>
        <w:pStyle w:val="Heading1"/>
      </w:pPr>
      <w:r>
        <w:t>抢救记录完整结构</w:t>
      </w:r>
      <w:bookmarkEnd w:id="3"/>
    </w:p>
    <w:p>
      <w:pPr>
        <w:widowControl/>
      </w:pPr>
      <w:r>
        <w:t>【实际记录日期时间】 消化道出血抢救记录</w:t>
      </w:r>
    </w:p>
    <w:p>
      <w:pPr>
        <w:pStyle w:val="Code"/>
      </w:pPr>
      <w:r>
        <w:t>```text</w:t>
      </w:r>
    </w:p>
    <w:p>
      <w:pPr>
        <w:pStyle w:val="Code"/>
        <w:keepLines w:val="0"/>
        <w:widowControl/>
      </w:pPr>
      <w:r>
        <w:t>病情变化：【发生时间、出血及循环事实】</w:t>
      </w:r>
    </w:p>
    <w:p>
      <w:pPr>
        <w:pStyle w:val="Code"/>
        <w:keepLines w:val="0"/>
        <w:widowControl/>
      </w:pPr>
      <w:r>
        <w:t>抢救评估：【生命体征、气道意识、腹征及检查】</w:t>
      </w:r>
    </w:p>
    <w:p>
      <w:pPr>
        <w:pStyle w:val="Code"/>
        <w:keepLines w:val="0"/>
        <w:widowControl/>
      </w:pPr>
      <w:r>
        <w:t>抢救经过：【按真实时刻记录每项处置、实际给药输血等与执行者，未知剂量不补】</w:t>
      </w:r>
    </w:p>
    <w:p>
      <w:pPr>
        <w:pStyle w:val="Code"/>
        <w:keepLines w:val="0"/>
        <w:widowControl/>
      </w:pPr>
      <w:r>
        <w:t>复评结果：【后续时点、数据、出血和器官状态】</w:t>
      </w:r>
    </w:p>
    <w:p>
      <w:pPr>
        <w:pStyle w:val="Code"/>
        <w:keepLines w:val="0"/>
        <w:widowControl/>
      </w:pPr>
      <w:r>
        <w:t>当前判断：【诊断依据、确定度及未解决问题】</w:t>
      </w:r>
    </w:p>
    <w:p>
      <w:pPr>
        <w:pStyle w:val="Code"/>
        <w:keepLines w:val="0"/>
        <w:widowControl/>
      </w:pPr>
      <w:r>
        <w:t>后续安排：【真实监护、内镜/介入/外科协作与转运状态】</w:t>
      </w:r>
    </w:p>
    <w:p>
      <w:pPr>
        <w:pStyle w:val="Code"/>
        <w:keepLines w:val="0"/>
        <w:widowControl/>
      </w:pPr>
      <w:r>
        <w:t>参与者及记录情况：【真实人员，若补记应注明实际补记时间及原因】</w:t>
      </w:r>
    </w:p>
    <w:p>
      <w:pPr>
        <w:pStyle w:val="Code"/>
      </w:pPr>
      <w:r>
        <w:t>```</w:t>
      </w:r>
    </w:p>
    <w:p>
      <w:bookmarkStart w:id="4" w:name="s4"/>
      <w:pPr>
        <w:pStyle w:val="Heading1"/>
      </w:pPr>
      <w:r>
        <w:t>虚构病例 穿孔待排</w:t>
      </w:r>
      <w:bookmarkEnd w:id="4"/>
    </w:p>
    <w:p>
      <w:pPr>
        <w:widowControl/>
      </w:pPr>
      <w:r>
        <w:t>SIM-GI-06/E01，10月25日结肠EMR，10月26日08:30腹痛加重，右下腹压痛，无反跳痛，T 37.4℃、BP 120/76 mmHg；CT尚未实施；已通知责任医师评估，未给其他处置证据。</w:t>
      </w:r>
    </w:p>
    <w:p>
      <w:pPr>
        <w:widowControl/>
      </w:pPr>
      <w:r>
        <w:t>2026年10月26日 08:40 异常病程记录</w:t>
      </w:r>
    </w:p>
    <w:p>
      <w:pPr>
        <w:pStyle w:val="Code"/>
      </w:pPr>
      <w:r>
        <w:t>```text</w:t>
      </w:r>
    </w:p>
    <w:p>
      <w:pPr>
        <w:pStyle w:val="Code"/>
        <w:keepLines w:val="0"/>
        <w:widowControl/>
      </w:pPr>
      <w:r>
        <w:t>患者结肠EMR后出现腹痛加重，08:30查体右下腹压痛，无反跳痛，体温37.4℃，血压120/76 mmHg。需鉴别操作后不适、电凝损伤相关反应及穿孔等，现有资料不足以确诊或排除穿孔。已通知责任医师进一步评估，影像尚未实施，后续根据床旁复评和检查结果确定处理。</w:t>
      </w:r>
    </w:p>
    <w:p>
      <w:pPr>
        <w:pStyle w:val="Code"/>
      </w:pPr>
      <w:r>
        <w:t>```</w:t>
      </w:r>
    </w:p>
    <w:p>
      <w:bookmarkStart w:id="5" w:name="s5"/>
      <w:pPr>
        <w:pStyle w:val="Heading1"/>
      </w:pPr>
      <w:r>
        <w:t>事实限制 常见错误及质控</w:t>
      </w:r>
      <w:bookmarkEnd w:id="5"/>
    </w:p>
    <w:p>
      <w:pPr>
        <w:widowControl/>
      </w:pPr>
      <w:r>
        <w:t>患者真实资料高于通用模板和医学知识。每条事实绑定patient_id、encounter_id、来源、event_time和available_time；未提供、未做、阴性、阳性和冲突分开。不得编造当日查体、生命体征、检查数值、内镜到达部位、病灶数量大小、活检、器械、夹数、麻醉、治疗执行、病理、分期、会诊、知情沟通或医师意见。历史资料明确日期；当日症状与查体不从昨日自动继承。正式意见由实际责任医师审核签署。</w:t>
      </w:r>
    </w:p>
    <w:p>
      <w:pPr>
        <w:widowControl/>
      </w:pPr>
      <w:r>
        <w:t>复核症状实际发生、生命体征和处置前后时间；疑诊和并发症因果分开；止血夹和输血不可补造；“无反跳痛”不排除穿孔；补记不倒签时间。</w:t>
      </w:r>
    </w:p>
    <w:p>
      <w:pPr>
        <w:widowControl/>
      </w:pPr>
      <w:r>
        <w:t>不得将模板建议改写成已执行处置。症状减轻不等于黏膜愈合，技术完成不等于病理治愈，未记录并发症不等于已经排除。</w:t>
      </w:r>
    </w:p>
    <w:p>
      <w:bookmarkStart w:id="6" w:name="s6"/>
      <w:pPr>
        <w:pStyle w:val="Heading1"/>
      </w:pPr>
      <w:r>
        <w:t>协同与维护</w:t>
      </w:r>
      <w:bookmarkEnd w:id="6"/>
    </w:p>
    <w:p>
      <w:pPr>
        <w:widowControl/>
      </w:pPr>
      <w:r>
        <w:t>00为唯一入口，01最高规则，11管理身份和事件，02—09提供任务功能，101—108补充对应疾病知识，10输出前终审。只读取本任务所需模块，冲突按01处理，不重复拼接正文。季度复核指南版本，新增指南、药物说明书或院内流程变化时由消化、内镜、麻醉、病理与病案质控人员按职责修订；保留修订人、日期、原因、受影响条款和回归用例。</w:t>
      </w:r>
    </w:p>
    <w:p>
      <w:bookmarkStart w:id="7" w:name="s7"/>
      <w:pPr>
        <w:pStyle w:val="Heading1"/>
      </w:pPr>
      <w:r>
        <w:t>指南版本和适用章节</w:t>
      </w:r>
      <w:bookmarkEnd w:id="7"/>
    </w:p>
    <w:p>
      <w:pPr>
        <w:widowControl/>
      </w:pPr>
      <w:r>
        <w:t>核验基准日2026-10-26。来源编号及准确名称、发布机构、年份、可访问层级与链接见本章记录。书目或摘要不能代替全文推荐；未核原文的精确阈值、剂量、证据等级和固定复查间隔不成为自动生成规则。国际文献仅补充适用的定义和方法，须结合中国规范及院内授权。</w:t>
      </w:r>
    </w:p>
    <w:p>
      <w:pPr>
        <w:widowControl/>
      </w:pPr>
      <w:r>
        <w:t>R01 R02为抢救与危急值记录；R06为麻醉急变；R16—R19及R28为胰腺炎、出血和穿孔的专业补充；R13—R15 R32为肝病并发症。</w:t>
      </w:r>
    </w:p>
    <w:p>
      <w:bookmarkStart w:id="8" w:name="s8"/>
      <w:pPr>
        <w:pStyle w:val="Heading1"/>
      </w:pPr>
      <w:r>
        <w:t>逐条来源核验登记</w:t>
      </w:r>
      <w:bookmarkEnd w:id="8"/>
    </w:p>
    <w:p>
      <w:pPr>
        <w:pStyle w:val="Heading2"/>
      </w:pPr>
      <w:r>
        <w:t>R01 病历书写基本规范</w:t>
      </w:r>
    </w:p>
    <w:p>
      <w:pPr>
        <w:widowControl/>
      </w:pPr>
      <w:r>
        <w:t>发布机构：原卫生部。版本年份：2010。核验日期：2026-10-26。</w:t>
      </w:r>
    </w:p>
    <w:p>
      <w:pPr>
        <w:widowControl/>
      </w:pPr>
      <w:r>
        <w:t>实际核验层级：官方发布索引与规范信息；直接正文抓取遇412，未据此新增精确时限。</w:t>
      </w:r>
    </w:p>
    <w:p>
      <w:pPr>
        <w:widowControl/>
      </w:pPr>
      <w:r>
        <w:t>适用章节：全模块真实性及基本文书栏目。</w:t>
      </w:r>
    </w:p>
    <w:p>
      <w:pPr>
        <w:widowControl/>
      </w:pPr>
      <w:r>
        <w:t>来源：https://www.nhc.gov.cn/wjw/c100175/201002/b1bec53d90f243e0861529723f00221a.shtml</w:t>
      </w:r>
    </w:p>
    <w:p>
      <w:pPr>
        <w:pStyle w:val="Heading2"/>
      </w:pPr>
      <w:r>
        <w:t>R02 医疗质量安全核心制度要点</w:t>
      </w:r>
    </w:p>
    <w:p>
      <w:pPr>
        <w:widowControl/>
      </w:pPr>
      <w:r>
        <w:t>发布机构：国家卫生健康委员会。版本年份：2018。核验日期：2026-10-26。</w:t>
      </w:r>
    </w:p>
    <w:p>
      <w:pPr>
        <w:widowControl/>
      </w:pPr>
      <w:r>
        <w:t>实际核验层级：官方通知及制度文本可访问。</w:t>
      </w:r>
    </w:p>
    <w:p>
      <w:pPr>
        <w:widowControl/>
      </w:pPr>
      <w:r>
        <w:t>适用章节：查房 会诊 危急值 抢救和记录责任。</w:t>
      </w:r>
    </w:p>
    <w:p>
      <w:pPr>
        <w:widowControl/>
      </w:pPr>
      <w:r>
        <w:t>来源：https://www.nhc.gov.cn/yzygj/c100068/201804/42ab2552298047679cd6ec733f233862.shtml</w:t>
      </w:r>
    </w:p>
    <w:p>
      <w:pPr>
        <w:pStyle w:val="Heading2"/>
      </w:pPr>
      <w:r>
        <w:t>R06 消化内镜诊疗镇静及麻醉管理中国指南 2026版</w:t>
      </w:r>
    </w:p>
    <w:p>
      <w:pPr>
        <w:widowControl/>
      </w:pPr>
      <w:r>
        <w:t>发布机构：国家消化内科专业医疗质量控制中心 国家麻醉专业医疗质量控制中心 中国医师协会内镜医师分会 中国日间手术合作联盟麻醉专业委员会。版本年份：2026。核验日期：2026-10-26。</w:t>
      </w:r>
    </w:p>
    <w:p>
      <w:pPr>
        <w:widowControl/>
      </w:pPr>
      <w:r>
        <w:t>实际核验层级：原刊题录及13页PDF已获取并提取，核对术前评估 监测 恢复与离院相关部分；未作全推荐逐条转录。</w:t>
      </w:r>
    </w:p>
    <w:p>
      <w:pPr>
        <w:widowControl/>
      </w:pPr>
      <w:r>
        <w:t>适用章节：05无痛内镜 06呼吸循环异常 07麻醉事实核对 09离院。</w:t>
      </w:r>
    </w:p>
    <w:p>
      <w:pPr>
        <w:widowControl/>
      </w:pPr>
      <w:r>
        <w:t>来源：https://xhyxzz.pumch.cn/article/doi/10.12290/xhyxzz.2026-0168?viewType=HTML</w:t>
      </w:r>
    </w:p>
    <w:p>
      <w:pPr>
        <w:widowControl/>
      </w:pPr>
      <w:r>
        <w:t>DOI：10.12290/xhyxzz.2026-0168</w:t>
      </w:r>
    </w:p>
    <w:p>
      <w:pPr>
        <w:pStyle w:val="Heading2"/>
      </w:pPr>
      <w:r>
        <w:t>R13 肝硬化临床诊治管理指南 2025版</w:t>
      </w:r>
    </w:p>
    <w:p>
      <w:pPr>
        <w:widowControl/>
      </w:pPr>
      <w:r>
        <w:t>发布机构：中华医学会肝病学分会。版本年份：2025。核验日期：2026-10-26。</w:t>
      </w:r>
    </w:p>
    <w:p>
      <w:pPr>
        <w:widowControl/>
      </w:pPr>
      <w:r>
        <w:t>实际核验层级：原始中文指南索引和可检索正文片段，直接全文页遇验证；不声称全文全部推荐复核。</w:t>
      </w:r>
    </w:p>
    <w:p>
      <w:pPr>
        <w:widowControl/>
      </w:pPr>
      <w:r>
        <w:t>适用章节：105肝硬化病因 储备 失代偿与长期管理。</w:t>
      </w:r>
    </w:p>
    <w:p>
      <w:pPr>
        <w:widowControl/>
      </w:pPr>
      <w:r>
        <w:t>来源：https://pmc.ncbi.nlm.nih.gov/articles/PMC12861852/</w:t>
      </w:r>
    </w:p>
    <w:p>
      <w:pPr>
        <w:widowControl/>
      </w:pPr>
      <w:r>
        <w:t>DOI：10.3760/cma.j.cn501113-20250728-00298</w:t>
      </w:r>
    </w:p>
    <w:p>
      <w:pPr>
        <w:pStyle w:val="Heading2"/>
      </w:pPr>
      <w:r>
        <w:t>R14 肝硬化腹水诊疗指南 2023年版</w:t>
      </w:r>
    </w:p>
    <w:p>
      <w:pPr>
        <w:widowControl/>
      </w:pPr>
      <w:r>
        <w:t>发布机构：中华医学会肝病学分会。版本年份：2023。核验日期：2026-10-26。</w:t>
      </w:r>
    </w:p>
    <w:p>
      <w:pPr>
        <w:widowControl/>
      </w:pPr>
      <w:r>
        <w:t>实际核验层级：原始中文指南正文索引与可检索部分；未进行剂量条款全核。</w:t>
      </w:r>
    </w:p>
    <w:p>
      <w:pPr>
        <w:widowControl/>
      </w:pPr>
      <w:r>
        <w:t>适用章节：105腹水 SBP及HRS鉴别 07液体利尿 09监测。</w:t>
      </w:r>
    </w:p>
    <w:p>
      <w:pPr>
        <w:widowControl/>
      </w:pPr>
      <w:r>
        <w:t>来源：https://pmc.ncbi.nlm.nih.gov/articles/PMC12814629/</w:t>
      </w:r>
    </w:p>
    <w:p>
      <w:pPr>
        <w:pStyle w:val="Heading2"/>
      </w:pPr>
      <w:r>
        <w:t>R15 肝硬化肝性脑病诊疗指南 2024年版</w:t>
      </w:r>
    </w:p>
    <w:p>
      <w:pPr>
        <w:widowControl/>
      </w:pPr>
      <w:r>
        <w:t>发布机构：中华医学会肝病学分会。版本年份：2024。核验日期：2026-10-26。</w:t>
      </w:r>
    </w:p>
    <w:p>
      <w:pPr>
        <w:widowControl/>
      </w:pPr>
      <w:r>
        <w:t>实际核验层级：原始中文指南索引和正文片段；直接页有验证。</w:t>
      </w:r>
    </w:p>
    <w:p>
      <w:pPr>
        <w:widowControl/>
      </w:pPr>
      <w:r>
        <w:t>适用章节：105及06脑病临床鉴别 诱因和监测。</w:t>
      </w:r>
    </w:p>
    <w:p>
      <w:pPr>
        <w:widowControl/>
      </w:pPr>
      <w:r>
        <w:t>来源：https://pmc.ncbi.nlm.nih.gov/articles/PMC12898777/</w:t>
      </w:r>
    </w:p>
    <w:p>
      <w:pPr>
        <w:pStyle w:val="Heading2"/>
      </w:pPr>
      <w:r>
        <w:t>R16 中国急性胰腺炎诊治指南 2021</w:t>
      </w:r>
    </w:p>
    <w:p>
      <w:pPr>
        <w:widowControl/>
      </w:pPr>
      <w:r>
        <w:t>发布机构：中华医学会外科学分会胰腺外科学组等原刊作者组。版本年份：2021。核验日期：2026-10-26。</w:t>
      </w:r>
    </w:p>
    <w:p>
      <w:pPr>
        <w:widowControl/>
      </w:pPr>
      <w:r>
        <w:t>实际核验层级：原刊题录摘要可核；作为已核中国基础版，不宣称最新或穷尽后续更新。</w:t>
      </w:r>
    </w:p>
    <w:p>
      <w:pPr>
        <w:widowControl/>
      </w:pPr>
      <w:r>
        <w:t>适用章节：106及107胰腺炎诊断与动态严重度。</w:t>
      </w:r>
    </w:p>
    <w:p>
      <w:pPr>
        <w:widowControl/>
      </w:pPr>
      <w:r>
        <w:t>来源：https://rs.yiigle.com/cmaid/1331236</w:t>
      </w:r>
    </w:p>
    <w:p>
      <w:pPr>
        <w:pStyle w:val="Heading2"/>
      </w:pPr>
      <w:r>
        <w:t>R18 急性非静脉曲张性上消化道出血诊治指南 2018年 杭州</w:t>
      </w:r>
    </w:p>
    <w:p>
      <w:pPr>
        <w:widowControl/>
      </w:pPr>
      <w:r>
        <w:t>发布机构：中华内科 中华医学 中华消化 中华消化内镜相关编委会及中国医师协会内镜相关专委会。版本年份：2018版 2019多刊发表。核验日期：2026-10-26。</w:t>
      </w:r>
    </w:p>
    <w:p>
      <w:pPr>
        <w:widowControl/>
      </w:pPr>
      <w:r>
        <w:t>实际核验层级：2018杭州成人原始指南PubMed题录摘要已核；不将儿童2024指南当成人更新；精确时窗和剂量仍需原文与院内路径。</w:t>
      </w:r>
    </w:p>
    <w:p>
      <w:pPr>
        <w:widowControl/>
      </w:pPr>
      <w:r>
        <w:t>适用章节：107出血证据 复苏与止血衔接；精确时窗和剂量不据未完整原文自动生成。</w:t>
      </w:r>
    </w:p>
    <w:p>
      <w:pPr>
        <w:widowControl/>
      </w:pPr>
      <w:r>
        <w:t>来源：https://pubmed.ncbi.nlm.nih.gov/30803174/</w:t>
      </w:r>
    </w:p>
    <w:p>
      <w:pPr>
        <w:pStyle w:val="Heading2"/>
      </w:pPr>
      <w:r>
        <w:t>R19 中国ERCP指南 2018版</w:t>
      </w:r>
    </w:p>
    <w:p>
      <w:pPr>
        <w:widowControl/>
      </w:pPr>
      <w:r>
        <w:t>发布机构：中华医学会消化内镜学分会ERCP学组 中国医师协会消化医师分会胆胰学组 国家消化系统疾病临床医学研究中心。版本年份：2018。核验日期：2026-10-26。</w:t>
      </w:r>
    </w:p>
    <w:p>
      <w:pPr>
        <w:widowControl/>
      </w:pPr>
      <w:r>
        <w:t>实际核验层级：原始指南题名署名及期刊PDF首页索引可核；全文推荐未逐条复核，不称2018为最新。</w:t>
      </w:r>
    </w:p>
    <w:p>
      <w:pPr>
        <w:widowControl/>
      </w:pPr>
      <w:r>
        <w:t>适用章节：05及106 ERCP实际步骤 取石支架与并发症。</w:t>
      </w:r>
    </w:p>
    <w:p>
      <w:pPr>
        <w:widowControl/>
      </w:pPr>
      <w:r>
        <w:t>来源：https://doi.org/10.3760/cma.j.issn.1007-5232.2018.11.001</w:t>
      </w:r>
    </w:p>
    <w:p>
      <w:pPr>
        <w:widowControl/>
      </w:pPr>
      <w:r>
        <w:t>DOI：10.3760/cma.j.issn.1007-5232.2018.11.001</w:t>
      </w:r>
    </w:p>
    <w:p>
      <w:pPr>
        <w:pStyle w:val="Heading2"/>
      </w:pPr>
      <w:r>
        <w:t>R28 Diagnosis and management of iatrogenic endoscopic perforations ESGE Position Statement Update 2020</w:t>
      </w:r>
    </w:p>
    <w:p>
      <w:pPr>
        <w:widowControl/>
      </w:pPr>
      <w:r>
        <w:t>发布机构：ESGE。版本年份：2020。核验日期：2026-10-26。</w:t>
      </w:r>
    </w:p>
    <w:p>
      <w:pPr>
        <w:widowControl/>
      </w:pPr>
      <w:r>
        <w:t>实际核验层级：原始声明书目，具体处置依现行院内路径与原文；中国ERCP十二指肠穿孔指南2023版另有原始文献线索待补核。</w:t>
      </w:r>
    </w:p>
    <w:p>
      <w:pPr>
        <w:widowControl/>
      </w:pPr>
      <w:r>
        <w:t>适用章节：06内镜穿孔疑诊和影像/外科协作；国际补充。</w:t>
      </w:r>
    </w:p>
    <w:p>
      <w:pPr>
        <w:widowControl/>
      </w:pPr>
      <w:r>
        <w:t>来源：https://doi.org/10.1055/a-1222-3191</w:t>
      </w:r>
    </w:p>
    <w:p>
      <w:pPr>
        <w:pStyle w:val="Heading2"/>
      </w:pPr>
      <w:r>
        <w:t>R32 肝衰竭诊治指南 2024年版</w:t>
      </w:r>
    </w:p>
    <w:p>
      <w:pPr>
        <w:widowControl/>
      </w:pPr>
      <w:r>
        <w:t>发布机构：中华医学会感染病学分会及肝病学分会相关学组 原刊完整署名为准。版本年份：2024版。核验日期：2026-10-26。</w:t>
      </w:r>
    </w:p>
    <w:p>
      <w:pPr>
        <w:widowControl/>
      </w:pPr>
      <w:r>
        <w:t>实际核验层级：原始中文指南正文索引可检索；2025慢加急单独指南需进一步核原文。</w:t>
      </w:r>
    </w:p>
    <w:p>
      <w:pPr>
        <w:widowControl/>
      </w:pPr>
      <w:r>
        <w:t>适用章节：105 06及107肝衰竭类型与器官证据边界。</w:t>
      </w:r>
    </w:p>
    <w:p>
      <w:pPr>
        <w:widowControl/>
      </w:pPr>
      <w:r>
        <w:t>来源：https://pmc.ncbi.nlm.nih.gov/articles/PMC12899238/</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06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iragino Sans GB" w:hAnsi="Hiragino Sans GB" w:eastAsia="Hiragino Sans GB" w:cs="Hiragino Sans GB"/>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Hiragino Sans GB" w:hAnsi="Hiragino Sans GB" w:eastAsia="Hiragino Sans GB" w:cs="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Hiragino Sans GB" w:hAnsi="Hiragino Sans GB" w:eastAsia="Hiragino Sans GB" w:cs="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Hiragino Sans GB" w:hAnsi="Hiragino Sans GB" w:eastAsia="Hiragino Sans GB" w:cs="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Hiragino Sans GB" w:hAnsi="Hiragino Sans GB" w:eastAsia="Hiragino Sans GB" w:cs="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iragino Sans GB" w:hAnsi="Hiragino Sans GB" w:eastAsia="Hiragino Sans GB" w:cs="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iragino Sans GB" w:hAnsi="Hiragino Sans GB" w:eastAsia="Hiragino Sans GB" w:cs="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iragino Sans GB" w:hAnsi="Hiragino Sans GB" w:eastAsia="Hiragino Sans GB" w:cs="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iragino Sans GB" w:hAnsi="Hiragino Sans GB" w:eastAsia="Hiragino Sans GB" w:cs="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iragino Sans GB" w:hAnsi="Hiragino Sans GB" w:eastAsia="Hiragino Sans GB" w:cs="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iragino Sans GB" w:hAnsi="Hiragino Sans GB" w:eastAsia="Hiragino Sans GB" w:cs="Hiragino Sans GB"/>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Hiragino Sans GB" w:hAnsi="Hiragino Sans GB" w:eastAsia="Hiragino Sans GB" w:cs="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Hiragino Sans GB" w:hAnsi="Hiragino Sans GB" w:eastAsia="Hiragino Sans GB" w:cs="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Hiragino Sans GB" w:hAnsi="Hiragino Sans GB" w:eastAsia="Hiragino Sans GB" w:cs="Hiragino Sans GB"/>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Hiragino Sans GB" w:hAnsi="Hiragino Sans GB" w:eastAsia="Hiragino Sans GB" w:cs="Hiragino Sans GB"/>
      <w:color w:val="000000"/>
      <w:spacing w:val="5"/>
      <w:kern w:val="28"/>
      <w:sz w:val="44"/>
      <w:szCs w:val="52"/>
    </w:rPr>
  </w:style>
  <w:style w:type="character" w:customStyle="1" w:styleId="TitleChar">
    <w:name w:val="Title Char"/>
    <w:basedOn w:val="DefaultParagraphFont"/>
    <w:link w:val="Title"/>
    <w:uiPriority w:val="10"/>
    <w:rsid w:val="00FC693F"/>
    <w:rPr>
      <w:rFonts w:ascii="Hiragino Sans GB" w:hAnsi="Hiragino Sans GB" w:eastAsia="Hiragino Sans GB" w:cs="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Hiragino Sans GB" w:hAnsi="Hiragino Sans GB" w:eastAsia="Hiragino Sans GB" w:cs="Hiragino Sans GB"/>
      <w:i w:val="0"/>
      <w:iCs/>
      <w:color w:val="000000"/>
      <w:spacing w:val="15"/>
      <w:sz w:val="22"/>
      <w:szCs w:val="24"/>
    </w:rPr>
  </w:style>
  <w:style w:type="character" w:customStyle="1" w:styleId="SubtitleChar">
    <w:name w:val="Subtitle Char"/>
    <w:basedOn w:val="DefaultParagraphFont"/>
    <w:link w:val="Subtitle"/>
    <w:uiPriority w:val="11"/>
    <w:rsid w:val="00FC693F"/>
    <w:rPr>
      <w:rFonts w:ascii="Hiragino Sans GB" w:hAnsi="Hiragino Sans GB" w:eastAsia="Hiragino Sans GB" w:cs="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Hiragino Sans GB" w:hAnsi="Hiragino Sans GB" w:eastAsia="Hiragino Sans GB" w:cs="Hiragino Sans GB"/>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cs="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cs="Hiragino Sans GB"/>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Hiragino Sans GB" w:hAnsi="Hiragino Sans GB" w:eastAsia="Hiragino Sans GB" w:cs="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Hiragino Sans GB" w:hAnsi="Hiragino Sans GB" w:eastAsia="Hiragino Sans GB" w:cs="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Hiragino Sans GB" w:hAnsi="Hiragino Sans GB" w:eastAsia="Hiragino Sans GB" w:cs="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Hiragino Sans GB" w:hAnsi="Hiragino Sans GB" w:eastAsia="Hiragino Sans GB" w:cs="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Hiragino Sans GB" w:hAnsi="Hiragino Sans GB" w:eastAsia="Hiragino Sans GB" w:cs="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Hiragino Sans GB" w:hAnsi="Hiragino Sans GB" w:eastAsia="Hiragino Sans GB" w:cs="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81" w:lineRule="auto" w:after="40"/>
    </w:pPr>
    <w:rPr>
      <w:rFonts w:ascii="Hiragino Sans GB" w:hAnsi="Hiragino Sans GB" w:eastAsia="Hiragino Sans GB" w:cs="Hiragino Sans G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消化内科急危重症内镜并发症及异常病情模板库</dc:title>
  <dc:subject>消化内科含胃肠镜AI病历书写系统V1.0</dc:subject>
  <dc:creator>病历模板库</dc:creator>
  <cp:keywords>消化内科 胃肠镜 医学文书 真实性 质控</cp:keywords>
  <dc:description>generated by python-docx</dc:description>
  <cp:lastModifiedBy/>
  <cp:revision>1</cp:revision>
  <dcterms:created xsi:type="dcterms:W3CDTF">2013-12-23T23:15:00Z</dcterms:created>
  <dcterms:modified xsi:type="dcterms:W3CDTF">2013-12-23T23:15:00Z</dcterms:modified>
  <cp:category/>
</cp:coreProperties>
</file>