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消化内科治疗决策用药营养支持及医嘱表达规则库</w:t>
      </w:r>
    </w:p>
    <w:p>
      <w:pPr>
        <w:pStyle w:val="Subtitle"/>
      </w:pPr>
      <w:r>
        <w:t>消化内科含胃肠镜AI病历书写系统 V1.0</w:t>
      </w:r>
    </w:p>
    <w:p>
      <w:r>
        <w:t>模块编号 07　版本 V1.0　所属层级 第二级 通用医学文书功能层</w:t>
      </w:r>
    </w:p>
    <w:p>
      <w:r>
        <w:t>建设及资料核验日期 2026年10月26日</w:t>
      </w:r>
    </w:p>
    <w:p>
      <w:r>
        <w:t>功能定位 治疗状态 用药和营养医嘱</w:t>
      </w:r>
    </w:p>
    <w:p>
      <w:r>
        <w:t>适用范围 中国医院消化内科病房 消化内镜中心及相关协作诊疗的医师文书辅助</w:t>
      </w:r>
    </w:p>
    <w:p>
      <w:r>
        <w:t>本文件提供拟稿、证据整理和质控规则。临床诊疗、内镜操作、麻醉、处方、知情同意及签名由具备权限的医务人员实施。</w:t>
      </w:r>
    </w:p>
    <w:p>
      <w:r>
        <w:br w:type="page"/>
      </w:r>
    </w:p>
    <w:p>
      <w:pPr>
        <w:pStyle w:val="Heading1"/>
      </w:pPr>
      <w:r>
        <w:t>目录</w:t>
      </w:r>
    </w:p>
    <w:p>
      <w:hyperlink w:anchor="s1">
        <w:r>
          <w:t>01  用药和治疗状态的输入及边界</w:t>
        </w:r>
      </w:hyperlink>
    </w:p>
    <w:p>
      <w:hyperlink w:anchor="s2">
        <w:r>
          <w:t>02  26类治疗决策卡</w:t>
        </w:r>
      </w:hyperlink>
    </w:p>
    <w:p>
      <w:hyperlink w:anchor="s3">
        <w:r>
          <w:t>03  抗栓专门核对表的字段</w:t>
        </w:r>
      </w:hyperlink>
    </w:p>
    <w:p>
      <w:hyperlink w:anchor="s4">
        <w:r>
          <w:t>04  完整治疗调整和营养文书模板</w:t>
        </w:r>
      </w:hyperlink>
    </w:p>
    <w:p>
      <w:hyperlink w:anchor="s5">
        <w:r>
          <w:t>05  虚构病例 抗凝恢复计划不是执行</w:t>
        </w:r>
      </w:hyperlink>
    </w:p>
    <w:p>
      <w:hyperlink w:anchor="s6">
        <w:r>
          <w:t>06  事实限制 常见错误及质控</w:t>
        </w:r>
      </w:hyperlink>
    </w:p>
    <w:p>
      <w:hyperlink w:anchor="s7">
        <w:r>
          <w:t>07  协同与维护</w:t>
        </w:r>
      </w:hyperlink>
    </w:p>
    <w:p>
      <w:hyperlink w:anchor="s8">
        <w:r>
          <w:t>08  指南版本和适用章节</w:t>
        </w:r>
      </w:hyperlink>
    </w:p>
    <w:p>
      <w:hyperlink w:anchor="s9">
        <w:r>
          <w:t>09  逐条来源核验登记</w:t>
        </w:r>
      </w:hyperlink>
    </w:p>
    <w:p/>
    <w:p>
      <w:bookmarkStart w:id="1" w:name="s1"/>
      <w:pPr>
        <w:pStyle w:val="Heading1"/>
      </w:pPr>
      <w:r>
        <w:t>用药和治疗状态的输入及边界</w:t>
      </w:r>
      <w:bookmarkEnd w:id="1"/>
    </w:p>
    <w:p>
      <w:pPr>
        <w:widowControl/>
      </w:pPr>
      <w:r>
        <w:t>用于讨论方案、治疗调整、围内镜抗栓、营养、输血和出院药物核对。需要真实药物记录与执行、适应证、肝肾过敏、相互作用、检查时点、责任医师决定及反应。知识条目说明决策所需资料，不能据指南直接生成患者已用药、剂量、疗程或给药时间。</w:t>
      </w:r>
    </w:p>
    <w:p>
      <w:pPr>
        <w:widowControl/>
      </w:pPr>
      <w:r>
        <w:t>每项维护“知识参考→建议→医师确认计划→医嘱开立→实际执行→暂停/调整/停用”的独立事件，不能跳步。治疗建议稿放在正式事实之外；药物执行争议属于严重质控阻断项。</w:t>
      </w:r>
    </w:p>
    <w:p>
      <w:bookmarkStart w:id="2" w:name="s2"/>
      <w:pPr>
        <w:pStyle w:val="Heading1"/>
      </w:pPr>
      <w:r>
        <w:t>26类治疗决策卡</w:t>
      </w:r>
      <w:bookmarkEnd w:id="2"/>
    </w:p>
    <w:p>
      <w:pPr>
        <w:pStyle w:val="Heading2"/>
      </w:pPr>
      <w:r>
        <w:t>01 抑酸治疗</w:t>
      </w:r>
    </w:p>
    <w:p>
      <w:pPr>
        <w:widowControl/>
      </w:pPr>
      <w:r>
        <w:t>决策必需资料：症状、溃疡、内镜止血后风险、给药途径与肝肾情况。</w:t>
      </w:r>
    </w:p>
    <w:p>
      <w:pPr>
        <w:widowControl/>
      </w:pPr>
      <w:r>
        <w:t>表达与临床重点：记录PPI或其他实际药物、适应证、执行与反应，不能把症状缓解认黏膜愈合。</w:t>
      </w:r>
    </w:p>
    <w:p>
      <w:pPr>
        <w:widowControl/>
      </w:pPr>
      <w:r>
        <w:t>核对模板：针对【实际问题】，依据【证据】由【责任医师真实决定】拟【方案】；目前【开立或实际执行状态】，用后【有时点反应】，复评关注【疗效及安全指标】。没有执行证据只能写拟定或待确认。</w:t>
      </w:r>
    </w:p>
    <w:p>
      <w:pPr>
        <w:pStyle w:val="Heading2"/>
      </w:pPr>
      <w:r>
        <w:t>02 胃黏膜保护</w:t>
      </w:r>
    </w:p>
    <w:p>
      <w:pPr>
        <w:widowControl/>
      </w:pPr>
      <w:r>
        <w:t>决策必需资料：黏膜损伤与个体禁忌、相互作用。</w:t>
      </w:r>
    </w:p>
    <w:p>
      <w:pPr>
        <w:widowControl/>
      </w:pPr>
      <w:r>
        <w:t>表达与临床重点：只写已确认用药；辅疗不代替病因和肿瘤排查。</w:t>
      </w:r>
    </w:p>
    <w:p>
      <w:pPr>
        <w:widowControl/>
      </w:pPr>
      <w:r>
        <w:t>核对模板：针对【实际问题】，依据【证据】由【责任医师真实决定】拟【方案】；目前【开立或实际执行状态】，用后【有时点反应】，复评关注【疗效及安全指标】。没有执行证据只能写拟定或待确认。</w:t>
      </w:r>
    </w:p>
    <w:p>
      <w:pPr>
        <w:pStyle w:val="Heading2"/>
      </w:pPr>
      <w:r>
        <w:t>03 Hp根除</w:t>
      </w:r>
    </w:p>
    <w:p>
      <w:pPr>
        <w:widowControl/>
      </w:pPr>
      <w:r>
        <w:t>决策必需资料：现症感染检测、既往根除方案、抗菌暴露、过敏、当地耐药和药敏如有。</w:t>
      </w:r>
    </w:p>
    <w:p>
      <w:pPr>
        <w:widowControl/>
      </w:pPr>
      <w:r>
        <w:t>表达与临床重点：医师选择方案，核完整组合、疗程与依从性，失败不原样盲重复；药物名称剂量不可由模板补。</w:t>
      </w:r>
    </w:p>
    <w:p>
      <w:pPr>
        <w:widowControl/>
      </w:pPr>
      <w:r>
        <w:t>核对模板：针对【实际问题】，依据【证据】由【责任医师真实决定】拟【方案】；目前【开立或实际执行状态】，用后【有时点反应】，复评关注【疗效及安全指标】。没有执行证据只能写拟定或待确认。</w:t>
      </w:r>
    </w:p>
    <w:p>
      <w:pPr>
        <w:pStyle w:val="Heading2"/>
      </w:pPr>
      <w:r>
        <w:t>04 消化道出血治疗</w:t>
      </w:r>
    </w:p>
    <w:p>
      <w:pPr>
        <w:widowControl/>
      </w:pPr>
      <w:r>
        <w:t>决策必需资料：出血来源确定度、循环Hb、内镜征象、合并症。</w:t>
      </w:r>
    </w:p>
    <w:p>
      <w:pPr>
        <w:widowControl/>
      </w:pPr>
      <w:r>
        <w:t>表达与临床重点：复苏输血抑酸和内镜等按实际执行；血流稳定不自动认为已永久止血。</w:t>
      </w:r>
    </w:p>
    <w:p>
      <w:pPr>
        <w:widowControl/>
      </w:pPr>
      <w:r>
        <w:t>核对模板：针对【实际问题】，依据【证据】由【责任医师真实决定】拟【方案】；目前【开立或实际执行状态】，用后【有时点反应】，复评关注【疗效及安全指标】。没有执行证据只能写拟定或待确认。</w:t>
      </w:r>
    </w:p>
    <w:p>
      <w:pPr>
        <w:pStyle w:val="Heading2"/>
      </w:pPr>
      <w:r>
        <w:t>05 血管活性药物</w:t>
      </w:r>
    </w:p>
    <w:p>
      <w:pPr>
        <w:widowControl/>
      </w:pPr>
      <w:r>
        <w:t>决策必需资料：静脉曲张出血或循环支持适应性、心肺风险。</w:t>
      </w:r>
    </w:p>
    <w:p>
      <w:pPr>
        <w:widowControl/>
      </w:pPr>
      <w:r>
        <w:t>表达与临床重点：药名剂量途径、起停和反应以实际记录，不能把肝硬化自动写已用。</w:t>
      </w:r>
    </w:p>
    <w:p>
      <w:pPr>
        <w:widowControl/>
      </w:pPr>
      <w:r>
        <w:t>核对模板：针对【实际问题】，依据【证据】由【责任医师真实决定】拟【方案】；目前【开立或实际执行状态】，用后【有时点反应】，复评关注【疗效及安全指标】。没有执行证据只能写拟定或待确认。</w:t>
      </w:r>
    </w:p>
    <w:p>
      <w:pPr>
        <w:pStyle w:val="Heading2"/>
      </w:pPr>
      <w:r>
        <w:t>06 止血后用药</w:t>
      </w:r>
    </w:p>
    <w:p>
      <w:pPr>
        <w:widowControl/>
      </w:pPr>
      <w:r>
        <w:t>决策必需资料：真实止血方式及再出血风险、口服耐受。</w:t>
      </w:r>
    </w:p>
    <w:p>
      <w:pPr>
        <w:widowControl/>
      </w:pPr>
      <w:r>
        <w:t>表达与临床重点：核抑酸等适应性和转换计划，止血效果与用药反应分开。</w:t>
      </w:r>
    </w:p>
    <w:p>
      <w:pPr>
        <w:widowControl/>
      </w:pPr>
      <w:r>
        <w:t>核对模板：针对【实际问题】，依据【证据】由【责任医师真实决定】拟【方案】；目前【开立或实际执行状态】，用后【有时点反应】，复评关注【疗效及安全指标】。没有执行证据只能写拟定或待确认。</w:t>
      </w:r>
    </w:p>
    <w:p>
      <w:pPr>
        <w:pStyle w:val="Heading2"/>
      </w:pPr>
      <w:r>
        <w:t>07 抗菌药物</w:t>
      </w:r>
    </w:p>
    <w:p>
      <w:pPr>
        <w:widowControl/>
      </w:pPr>
      <w:r>
        <w:t>决策必需资料：感染部位、培养药敏、肝肾、过敏、是否仅预防。</w:t>
      </w:r>
    </w:p>
    <w:p>
      <w:pPr>
        <w:widowControl/>
      </w:pPr>
      <w:r>
        <w:t>表达与临床重点：经验性和目标治疗分开，记录采样与用药先后、复评与停药；无菌性胰腺坏死不自动预防用抗菌。</w:t>
      </w:r>
    </w:p>
    <w:p>
      <w:pPr>
        <w:widowControl/>
      </w:pPr>
      <w:r>
        <w:t>核对模板：针对【实际问题】，依据【证据】由【责任医师真实决定】拟【方案】；目前【开立或实际执行状态】，用后【有时点反应】，复评关注【疗效及安全指标】。没有执行证据只能写拟定或待确认。</w:t>
      </w:r>
    </w:p>
    <w:p>
      <w:pPr>
        <w:pStyle w:val="Heading2"/>
      </w:pPr>
      <w:r>
        <w:t>08 抗病毒治疗</w:t>
      </w:r>
    </w:p>
    <w:p>
      <w:pPr>
        <w:widowControl/>
      </w:pPr>
      <w:r>
        <w:t>决策必需资料：HBV/HCV现症证据、肝病分期、肾功能与既往方案。</w:t>
      </w:r>
    </w:p>
    <w:p>
      <w:pPr>
        <w:widowControl/>
      </w:pPr>
      <w:r>
        <w:t>表达与临床重点：抗体阳性不等于需抗病毒；已用药不能无依据停药，免疫抑制前防再激活。</w:t>
      </w:r>
    </w:p>
    <w:p>
      <w:pPr>
        <w:widowControl/>
      </w:pPr>
      <w:r>
        <w:t>核对模板：针对【实际问题】，依据【证据】由【责任医师真实决定】拟【方案】；目前【开立或实际执行状态】，用后【有时点反应】，复评关注【疗效及安全指标】。没有执行证据只能写拟定或待确认。</w:t>
      </w:r>
    </w:p>
    <w:p>
      <w:pPr>
        <w:pStyle w:val="Heading2"/>
      </w:pPr>
      <w:r>
        <w:t>09 IBD药物治疗</w:t>
      </w:r>
    </w:p>
    <w:p>
      <w:pPr>
        <w:widowControl/>
      </w:pPr>
      <w:r>
        <w:t>决策必需资料：范围活动度、客观炎症、既往应答、感染与不良反应。</w:t>
      </w:r>
    </w:p>
    <w:p>
      <w:pPr>
        <w:widowControl/>
      </w:pPr>
      <w:r>
        <w:t>表达与临床重点：诱导与维持分开，症状改善不代客观愈合，监测疗效与安全。</w:t>
      </w:r>
    </w:p>
    <w:p>
      <w:pPr>
        <w:widowControl/>
      </w:pPr>
      <w:r>
        <w:t>核对模板：针对【实际问题】，依据【证据】由【责任医师真实决定】拟【方案】；目前【开立或实际执行状态】，用后【有时点反应】，复评关注【疗效及安全指标】。没有执行证据只能写拟定或待确认。</w:t>
      </w:r>
    </w:p>
    <w:p>
      <w:pPr>
        <w:pStyle w:val="Heading2"/>
      </w:pPr>
      <w:r>
        <w:t>10 糖皮质激素</w:t>
      </w:r>
    </w:p>
    <w:p>
      <w:pPr>
        <w:widowControl/>
      </w:pPr>
      <w:r>
        <w:t>决策必需资料：IBD等适应性、感染排查、骨代谢血糖风险。</w:t>
      </w:r>
    </w:p>
    <w:p>
      <w:pPr>
        <w:widowControl/>
      </w:pPr>
      <w:r>
        <w:t>表达与临床重点：记录剂量途径起始反应、减停决定和执行，不能默认长期维持或突然停。</w:t>
      </w:r>
    </w:p>
    <w:p>
      <w:pPr>
        <w:widowControl/>
      </w:pPr>
      <w:r>
        <w:t>核对模板：针对【实际问题】，依据【证据】由【责任医师真实决定】拟【方案】；目前【开立或实际执行状态】，用后【有时点反应】，复评关注【疗效及安全指标】。没有执行证据只能写拟定或待确认。</w:t>
      </w:r>
    </w:p>
    <w:p>
      <w:pPr>
        <w:pStyle w:val="Heading2"/>
      </w:pPr>
      <w:r>
        <w:t>11 免疫调节药物</w:t>
      </w:r>
    </w:p>
    <w:p>
      <w:pPr>
        <w:widowControl/>
      </w:pPr>
      <w:r>
        <w:t>决策必需资料：适应性、血常规肝肾和适用药物前筛查。</w:t>
      </w:r>
    </w:p>
    <w:p>
      <w:pPr>
        <w:widowControl/>
      </w:pPr>
      <w:r>
        <w:t>表达与临床重点：监测骨髓肝毒性及相互作用，未筛查不能写正常。</w:t>
      </w:r>
    </w:p>
    <w:p>
      <w:pPr>
        <w:widowControl/>
      </w:pPr>
      <w:r>
        <w:t>核对模板：针对【实际问题】，依据【证据】由【责任医师真实决定】拟【方案】；目前【开立或实际执行状态】，用后【有时点反应】，复评关注【疗效及安全指标】。没有执行证据只能写拟定或待确认。</w:t>
      </w:r>
    </w:p>
    <w:p>
      <w:pPr>
        <w:pStyle w:val="Heading2"/>
      </w:pPr>
      <w:r>
        <w:t>12 生物制剂及高级治疗</w:t>
      </w:r>
    </w:p>
    <w:p>
      <w:pPr>
        <w:widowControl/>
      </w:pPr>
      <w:r>
        <w:t>决策必需资料：结核HBV等感染筛查、疫苗、既往暴露、适应证和安全风险。</w:t>
      </w:r>
    </w:p>
    <w:p>
      <w:pPr>
        <w:widowControl/>
      </w:pPr>
      <w:r>
        <w:t>表达与临床重点：原发无应答与继发失应答分开，药物浓度抗体仅实际检测才分析，获批范围和院内权限核实。</w:t>
      </w:r>
    </w:p>
    <w:p>
      <w:pPr>
        <w:widowControl/>
      </w:pPr>
      <w:r>
        <w:t>核对模板：针对【实际问题】，依据【证据】由【责任医师真实决定】拟【方案】；目前【开立或实际执行状态】，用后【有时点反应】，复评关注【疗效及安全指标】。没有执行证据只能写拟定或待确认。</w:t>
      </w:r>
    </w:p>
    <w:p>
      <w:pPr>
        <w:pStyle w:val="Heading2"/>
      </w:pPr>
      <w:r>
        <w:t>13 肝硬化并发症治疗</w:t>
      </w:r>
    </w:p>
    <w:p>
      <w:pPr>
        <w:widowControl/>
      </w:pPr>
      <w:r>
        <w:t>决策必需资料：病因、储备、门静脉高压、出血腹水脑病肾损伤。</w:t>
      </w:r>
    </w:p>
    <w:p>
      <w:pPr>
        <w:widowControl/>
      </w:pPr>
      <w:r>
        <w:t>表达与临床重点：按具体并发症和实际证据制定方案，不因肝硬化自动套全套药。</w:t>
      </w:r>
    </w:p>
    <w:p>
      <w:pPr>
        <w:widowControl/>
      </w:pPr>
      <w:r>
        <w:t>核对模板：针对【实际问题】，依据【证据】由【责任医师真实决定】拟【方案】；目前【开立或实际执行状态】，用后【有时点反应】，复评关注【疗效及安全指标】。没有执行证据只能写拟定或待确认。</w:t>
      </w:r>
    </w:p>
    <w:p>
      <w:pPr>
        <w:pStyle w:val="Heading2"/>
      </w:pPr>
      <w:r>
        <w:t>14 腹水管理</w:t>
      </w:r>
    </w:p>
    <w:p>
      <w:pPr>
        <w:widowControl/>
      </w:pPr>
      <w:r>
        <w:t>决策必需资料：摄入出量、体重腹围、钠钾肌酐、腹水检查和感染。</w:t>
      </w:r>
    </w:p>
    <w:p>
      <w:pPr>
        <w:widowControl/>
      </w:pPr>
      <w:r>
        <w:t>表达与临床重点：利尿、限盐、放腹水与白蛋白按真实决定和执行；不默认每位腹水患者需限水。</w:t>
      </w:r>
    </w:p>
    <w:p>
      <w:pPr>
        <w:widowControl/>
      </w:pPr>
      <w:r>
        <w:t>核对模板：针对【实际问题】，依据【证据】由【责任医师真实决定】拟【方案】；目前【开立或实际执行状态】，用后【有时点反应】，复评关注【疗效及安全指标】。没有执行证据只能写拟定或待确认。</w:t>
      </w:r>
    </w:p>
    <w:p>
      <w:pPr>
        <w:pStyle w:val="Heading2"/>
      </w:pPr>
      <w:r>
        <w:t>15 肝性脑病管理</w:t>
      </w:r>
    </w:p>
    <w:p>
      <w:pPr>
        <w:widowControl/>
      </w:pPr>
      <w:r>
        <w:t>决策必需资料：诱因、意识气道、感染出血便秘药物及代谢因素。</w:t>
      </w:r>
    </w:p>
    <w:p>
      <w:pPr>
        <w:widowControl/>
      </w:pPr>
      <w:r>
        <w:t>表达与临床重点：病因处理和降氨等按实际方案，避免机械长期禁蛋白，监测排便脱水和电解质。</w:t>
      </w:r>
    </w:p>
    <w:p>
      <w:pPr>
        <w:widowControl/>
      </w:pPr>
      <w:r>
        <w:t>核对模板：针对【实际问题】，依据【证据】由【责任医师真实决定】拟【方案】；目前【开立或实际执行状态】，用后【有时点反应】，复评关注【疗效及安全指标】。没有执行证据只能写拟定或待确认。</w:t>
      </w:r>
    </w:p>
    <w:p>
      <w:pPr>
        <w:pStyle w:val="Heading2"/>
      </w:pPr>
      <w:r>
        <w:t>16 胆胰疾病治疗</w:t>
      </w:r>
    </w:p>
    <w:p>
      <w:pPr>
        <w:widowControl/>
      </w:pPr>
      <w:r>
        <w:t>决策必需资料：梗阻感染、影像、肝胆酶学和引流状态。</w:t>
      </w:r>
    </w:p>
    <w:p>
      <w:pPr>
        <w:widowControl/>
      </w:pPr>
      <w:r>
        <w:t>表达与临床重点：药物、ERCP、介入与外科方案按时点分清，胆红素未降需核残余梗阻与引流。</w:t>
      </w:r>
    </w:p>
    <w:p>
      <w:pPr>
        <w:widowControl/>
      </w:pPr>
      <w:r>
        <w:t>核对模板：针对【实际问题】，依据【证据】由【责任医师真实决定】拟【方案】；目前【开立或实际执行状态】，用后【有时点反应】，复评关注【疗效及安全指标】。没有执行证据只能写拟定或待确认。</w:t>
      </w:r>
    </w:p>
    <w:p>
      <w:pPr>
        <w:pStyle w:val="Heading2"/>
      </w:pPr>
      <w:r>
        <w:t>17 急性胰腺炎支持</w:t>
      </w:r>
    </w:p>
    <w:p>
      <w:pPr>
        <w:widowControl/>
      </w:pPr>
      <w:r>
        <w:t>决策必需资料：灌注、尿量、呼吸循环、营养及病因。</w:t>
      </w:r>
    </w:p>
    <w:p>
      <w:pPr>
        <w:widowControl/>
      </w:pPr>
      <w:r>
        <w:t>表达与临床重点：个体补液并复评液体超负荷，镇痛与早期营养依耐受和团队决定，不统一大剂量快速补液。</w:t>
      </w:r>
    </w:p>
    <w:p>
      <w:pPr>
        <w:widowControl/>
      </w:pPr>
      <w:r>
        <w:t>核对模板：针对【实际问题】，依据【证据】由【责任医师真实决定】拟【方案】；目前【开立或实际执行状态】，用后【有时点反应】，复评关注【疗效及安全指标】。没有执行证据只能写拟定或待确认。</w:t>
      </w:r>
    </w:p>
    <w:p>
      <w:pPr>
        <w:pStyle w:val="Heading2"/>
      </w:pPr>
      <w:r>
        <w:t>18 围内镜抗凝抗血小板</w:t>
      </w:r>
    </w:p>
    <w:p>
      <w:pPr>
        <w:widowControl/>
      </w:pPr>
      <w:r>
        <w:t>决策必需资料：真实药名适应证、末次服药、支架和血栓史、肾功能、操作风险。</w:t>
      </w:r>
    </w:p>
    <w:p>
      <w:pPr>
        <w:widowControl/>
      </w:pPr>
      <w:r>
        <w:t>表达与临床重点：停药、恢复、桥接决定与实际执行均单列；DOAC与华法林不同，不自动桥接或套固定天数。</w:t>
      </w:r>
    </w:p>
    <w:p>
      <w:pPr>
        <w:widowControl/>
      </w:pPr>
      <w:r>
        <w:t>核对模板：针对【实际问题】，依据【证据】由【责任医师真实决定】拟【方案】；目前【开立或实际执行状态】，用后【有时点反应】，复评关注【疗效及安全指标】。没有执行证据只能写拟定或待确认。</w:t>
      </w:r>
    </w:p>
    <w:p>
      <w:pPr>
        <w:pStyle w:val="Heading2"/>
      </w:pPr>
      <w:r>
        <w:t>19 营养风险筛查</w:t>
      </w:r>
    </w:p>
    <w:p>
      <w:pPr>
        <w:widowControl/>
      </w:pPr>
      <w:r>
        <w:t>决策必需资料：体重BMI变化、摄入、病情严重度、腹水水肿和再喂养风险。</w:t>
      </w:r>
    </w:p>
    <w:p>
      <w:pPr>
        <w:widowControl/>
      </w:pPr>
      <w:r>
        <w:t>表达与临床重点：注明NRS 2002等版本和变量，风险筛查与营养不良诊断分开。</w:t>
      </w:r>
    </w:p>
    <w:p>
      <w:pPr>
        <w:widowControl/>
      </w:pPr>
      <w:r>
        <w:t>核对模板：针对【实际问题】，依据【证据】由【责任医师真实决定】拟【方案】；目前【开立或实际执行状态】，用后【有时点反应】，复评关注【疗效及安全指标】。没有执行证据只能写拟定或待确认。</w:t>
      </w:r>
    </w:p>
    <w:p>
      <w:pPr>
        <w:pStyle w:val="Heading2"/>
      </w:pPr>
      <w:r>
        <w:t>20 肠内营养</w:t>
      </w:r>
    </w:p>
    <w:p>
      <w:pPr>
        <w:widowControl/>
      </w:pPr>
      <w:r>
        <w:t>决策必需资料：胃肠功能、误吸、梗阻、通路和目标耐受。</w:t>
      </w:r>
    </w:p>
    <w:p>
      <w:pPr>
        <w:widowControl/>
      </w:pPr>
      <w:r>
        <w:t>表达与临床重点：实际途径制剂速度总量与反应，建议不作为已输入，监测腹泻血糖电解质。</w:t>
      </w:r>
    </w:p>
    <w:p>
      <w:pPr>
        <w:widowControl/>
      </w:pPr>
      <w:r>
        <w:t>核对模板：针对【实际问题】，依据【证据】由【责任医师真实决定】拟【方案】；目前【开立或实际执行状态】，用后【有时点反应】，复评关注【疗效及安全指标】。没有执行证据只能写拟定或待确认。</w:t>
      </w:r>
    </w:p>
    <w:p>
      <w:pPr>
        <w:pStyle w:val="Heading2"/>
      </w:pPr>
      <w:r>
        <w:t>21 肠外营养</w:t>
      </w:r>
    </w:p>
    <w:p>
      <w:pPr>
        <w:widowControl/>
      </w:pPr>
      <w:r>
        <w:t>决策必需资料：肠内不足或不可行的真实原因、通路与代谢风险。</w:t>
      </w:r>
    </w:p>
    <w:p>
      <w:pPr>
        <w:widowControl/>
      </w:pPr>
      <w:r>
        <w:t>表达与临床重点：实际配方通量时点及监测，不能因禁食自动写已上肠外营养。</w:t>
      </w:r>
    </w:p>
    <w:p>
      <w:pPr>
        <w:widowControl/>
      </w:pPr>
      <w:r>
        <w:t>核对模板：针对【实际问题】，依据【证据】由【责任医师真实决定】拟【方案】；目前【开立或实际执行状态】，用后【有时点反应】，复评关注【疗效及安全指标】。没有执行证据只能写拟定或待确认。</w:t>
      </w:r>
    </w:p>
    <w:p>
      <w:pPr>
        <w:pStyle w:val="Heading2"/>
      </w:pPr>
      <w:r>
        <w:t>22 补液电解质</w:t>
      </w:r>
    </w:p>
    <w:p>
      <w:pPr>
        <w:widowControl/>
      </w:pPr>
      <w:r>
        <w:t>决策必需资料：灌注摄入出量、体重、心肾和电解质及复测。</w:t>
      </w:r>
    </w:p>
    <w:p>
      <w:pPr>
        <w:widowControl/>
      </w:pPr>
      <w:r>
        <w:t>表达与临床重点：区分复苏与维持，记录真实输入量成分速度及反应，未知不能凑出入量平衡。</w:t>
      </w:r>
    </w:p>
    <w:p>
      <w:pPr>
        <w:widowControl/>
      </w:pPr>
      <w:r>
        <w:t>核对模板：针对【实际问题】，依据【证据】由【责任医师真实决定】拟【方案】；目前【开立或实际执行状态】，用后【有时点反应】，复评关注【疗效及安全指标】。没有执行证据只能写拟定或待确认。</w:t>
      </w:r>
    </w:p>
    <w:p>
      <w:pPr>
        <w:pStyle w:val="Heading2"/>
      </w:pPr>
      <w:r>
        <w:t>23 输血评估</w:t>
      </w:r>
    </w:p>
    <w:p>
      <w:pPr>
        <w:widowControl/>
      </w:pPr>
      <w:r>
        <w:t>决策必需资料：Hb趋势、活动出血、灌注、心脑疾病、血型配血和医师决定。</w:t>
      </w:r>
    </w:p>
    <w:p>
      <w:pPr>
        <w:widowControl/>
      </w:pPr>
      <w:r>
        <w:t>表达与临床重点：申请备血不等于输注；血制品、单位、时点、反应按实录，阈值个体化不按单值自动执行。</w:t>
      </w:r>
    </w:p>
    <w:p>
      <w:pPr>
        <w:widowControl/>
      </w:pPr>
      <w:r>
        <w:t>核对模板：针对【实际问题】，依据【证据】由【责任医师真实决定】拟【方案】；目前【开立或实际执行状态】，用后【有时点反应】，复评关注【疗效及安全指标】。没有执行证据只能写拟定或待确认。</w:t>
      </w:r>
    </w:p>
    <w:p>
      <w:pPr>
        <w:pStyle w:val="Heading2"/>
      </w:pPr>
      <w:r>
        <w:t>24 镇静麻醉用药核对</w:t>
      </w:r>
    </w:p>
    <w:p>
      <w:pPr>
        <w:widowControl/>
      </w:pPr>
      <w:r>
        <w:t>决策必需资料：麻醉团队记录、药名剂量途径、时间、监测恢复。</w:t>
      </w:r>
    </w:p>
    <w:p>
      <w:pPr>
        <w:widowControl/>
      </w:pPr>
      <w:r>
        <w:t>表达与临床重点：消化病程只准确摘要实际麻醉事实，不据无痛推丙泊酚或固定剂量。</w:t>
      </w:r>
    </w:p>
    <w:p>
      <w:pPr>
        <w:widowControl/>
      </w:pPr>
      <w:r>
        <w:t>核对模板：针对【实际问题】，依据【证据】由【责任医师真实决定】拟【方案】；目前【开立或实际执行状态】，用后【有时点反应】，复评关注【疗效及安全指标】。没有执行证据只能写拟定或待确认。</w:t>
      </w:r>
    </w:p>
    <w:p>
      <w:pPr>
        <w:pStyle w:val="Heading2"/>
      </w:pPr>
      <w:r>
        <w:t>25 调整停药</w:t>
      </w:r>
    </w:p>
    <w:p>
      <w:pPr>
        <w:widowControl/>
      </w:pPr>
      <w:r>
        <w:t>决策必需资料：具体原方案、效果、不良反应、检查变化和决策人。</w:t>
      </w:r>
    </w:p>
    <w:p>
      <w:pPr>
        <w:widowControl/>
      </w:pPr>
      <w:r>
        <w:t>表达与临床重点：明确停前末次执行、新方案确认和首次执行，不能同时写已停又继续。</w:t>
      </w:r>
    </w:p>
    <w:p>
      <w:pPr>
        <w:widowControl/>
      </w:pPr>
      <w:r>
        <w:t>核对模板：针对【实际问题】，依据【证据】由【责任医师真实决定】拟【方案】；目前【开立或实际执行状态】，用后【有时点反应】，复评关注【疗效及安全指标】。没有执行证据只能写拟定或待确认。</w:t>
      </w:r>
    </w:p>
    <w:p>
      <w:pPr>
        <w:pStyle w:val="Heading2"/>
      </w:pPr>
      <w:r>
        <w:t>26 出院用药</w:t>
      </w:r>
    </w:p>
    <w:p>
      <w:pPr>
        <w:widowControl/>
      </w:pPr>
      <w:r>
        <w:t>决策必需资料：住院末次方案、家庭原药、抗栓恢复、支架病理待办和可及性。</w:t>
      </w:r>
    </w:p>
    <w:p>
      <w:pPr>
        <w:widowControl/>
      </w:pPr>
      <w:r>
        <w:t>表达与临床重点：逐药核名称剂量途径频次疗程与指征，删除已停和重复药，未确认不输出可执行处方。</w:t>
      </w:r>
    </w:p>
    <w:p>
      <w:pPr>
        <w:widowControl/>
      </w:pPr>
      <w:r>
        <w:t>核对模板：针对【实际问题】，依据【证据】由【责任医师真实决定】拟【方案】；目前【开立或实际执行状态】，用后【有时点反应】，复评关注【疗效及安全指标】。没有执行证据只能写拟定或待确认。</w:t>
      </w:r>
    </w:p>
    <w:p>
      <w:bookmarkStart w:id="3" w:name="s3"/>
      <w:pPr>
        <w:pStyle w:val="Heading1"/>
      </w:pPr>
      <w:r>
        <w:t>抗栓专门核对表的字段</w:t>
      </w:r>
      <w:bookmarkEnd w:id="3"/>
    </w:p>
    <w:p>
      <w:pPr>
        <w:widowControl/>
      </w:pPr>
      <w:r>
        <w:t>每药一条：drug_event_id、药名/适应证/剂量/肾功能、末次实际用药时间、拟操作及出血风险、血栓风险依据、决策科室与人员、停药计划、停药实际、桥接是否决定及执行、止血状况、恢复计划、恢复实际。近期冠脉支架、机械瓣或近期血栓等高危情形需实际跨科权衡；不同指南与超微创手术的范围不能无差别推广。</w:t>
      </w:r>
    </w:p>
    <w:p>
      <w:pPr>
        <w:widowControl/>
      </w:pPr>
      <w:r>
        <w:t>【实际记录日期时间】 抗栓方案评估病程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因【实际适应证】使用【真实抗栓药物】，末次实际用药【已核时间】，拟行【具体操作】，需结合【出血风险、血栓风险和肾功能】评估围操作期方案。现有医师决定为【真实计划】，实际停用及恢复状态为【执行证据】，未确认事项【正文只写临床待定结论】。后续由相关团队根据止血与血栓风险复评。</w:t>
      </w:r>
    </w:p>
    <w:p>
      <w:pPr>
        <w:pStyle w:val="Code"/>
      </w:pPr>
      <w:r>
        <w:t>```</w:t>
      </w:r>
    </w:p>
    <w:p>
      <w:bookmarkStart w:id="4" w:name="s4"/>
      <w:pPr>
        <w:pStyle w:val="Heading1"/>
      </w:pPr>
      <w:r>
        <w:t>完整治疗调整和营养文书模板</w:t>
      </w:r>
      <w:bookmarkEnd w:id="4"/>
    </w:p>
    <w:p>
      <w:pPr>
        <w:widowControl/>
      </w:pPr>
      <w:r>
        <w:t>【实际记录日期时间】 治疗调整病程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针对【疾病及具体问题】，既往实际方案【真实药物和起始】，经【真实疗程及执行】后【症状检查反应或不良反应】。结合【病因、肝肾及相互作用资料】，责任医师决定【真实调整或停药计划】，目前【已执行与尚未执行分别记录】，后续复评【明确指标和时间安排】。</w:t>
      </w:r>
    </w:p>
    <w:p>
      <w:pPr>
        <w:pStyle w:val="Code"/>
      </w:pPr>
      <w:r>
        <w:t>```</w:t>
      </w:r>
    </w:p>
    <w:p>
      <w:pPr>
        <w:widowControl/>
      </w:pPr>
      <w:r>
        <w:t>【实际记录日期时间】 营养支持评估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近期【摄入、体重及功能资料】，营养风险评估【实际工具与结果或缺项】，合并【胃肠功能及误吸再喂养等风险】。当前实际营养途径及摄入【记录】，已确认计划【个体目标、途径和调整】，监测【耐受、摄入完成度、血糖及电解质等】并依据复评调整。</w:t>
      </w:r>
    </w:p>
    <w:p>
      <w:pPr>
        <w:pStyle w:val="Code"/>
      </w:pPr>
      <w:r>
        <w:t>```</w:t>
      </w:r>
    </w:p>
    <w:p>
      <w:bookmarkStart w:id="5" w:name="s5"/>
      <w:pPr>
        <w:pStyle w:val="Heading1"/>
      </w:pPr>
      <w:r>
        <w:t>虚构病例 抗凝恢复计划不是执行</w:t>
      </w:r>
      <w:bookmarkEnd w:id="5"/>
    </w:p>
    <w:p>
      <w:pPr>
        <w:widowControl/>
      </w:pPr>
      <w:r>
        <w:t>SIM-GI-07/E01，房颤，阿哌沙班末次实际服药10月23日20:00；10月25日结肠ESD；10月26日09:00记录显示医师计划10月27日复评是否恢复，目前无恢复给药。示例不构成任何患者停药时窗建议。</w:t>
      </w:r>
    </w:p>
    <w:p>
      <w:pPr>
        <w:widowControl/>
      </w:pPr>
      <w:r>
        <w:t>2026年10月26日 09:00 治疗状态记录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既往因房颤服用阿哌沙班，末次实际服药记录为10月23日20:00，10月25日接受结肠ESD。目前尚无恢复给药证据，责任医师计划10月27日结合创面止血与血栓风险复评后决定是否恢复，不能将该计划记为已经恢复抗凝。</w:t>
      </w:r>
    </w:p>
    <w:p>
      <w:pPr>
        <w:pStyle w:val="Code"/>
      </w:pPr>
      <w:r>
        <w:t>```</w:t>
      </w:r>
    </w:p>
    <w:p>
      <w:bookmarkStart w:id="6" w:name="s6"/>
      <w:pPr>
        <w:pStyle w:val="Heading1"/>
      </w:pPr>
      <w:r>
        <w:t>事实限制 常见错误及质控</w:t>
      </w:r>
      <w:bookmarkEnd w:id="6"/>
    </w:p>
    <w:p>
      <w:pPr>
        <w:widowControl/>
      </w:pPr>
      <w:r>
        <w:t>患者真实资料高于通用模板和医学知识。每条事实绑定patient_id、encounter_id、来源、event_time和available_time；未提供、未做、阴性、阳性和冲突分开。不得编造当日查体、生命体征、检查数值、内镜到达部位、病灶数量大小、活检、器械、夹数、麻醉、治疗执行、病理、分期、会诊、知情沟通或医师意见。历史资料明确日期；当日症状与查体不从昨日自动继承。正式意见由实际责任医师审核签署。</w:t>
      </w:r>
    </w:p>
    <w:p>
      <w:pPr>
        <w:widowControl/>
      </w:pPr>
      <w:r>
        <w:t>逐药核医嘱与执行；抗栓未定不补固定停药天数；输血申请不等输注；营养目标与完成量分开；指南建议不改成已实施治疗。</w:t>
      </w:r>
    </w:p>
    <w:p>
      <w:pPr>
        <w:widowControl/>
      </w:pPr>
      <w:r>
        <w:t>不得将模板建议改写成已执行处置。症状减轻不等于黏膜愈合，技术完成不等于病理治愈，未记录并发症不等于已经排除。</w:t>
      </w:r>
    </w:p>
    <w:p>
      <w:bookmarkStart w:id="7" w:name="s7"/>
      <w:pPr>
        <w:pStyle w:val="Heading1"/>
      </w:pPr>
      <w:r>
        <w:t>协同与维护</w:t>
      </w:r>
      <w:bookmarkEnd w:id="7"/>
    </w:p>
    <w:p>
      <w:pPr>
        <w:widowControl/>
      </w:pPr>
      <w:r>
        <w:t>00为唯一入口，01最高规则，11管理身份和事件，02—09提供任务功能，101—108补充对应疾病知识，10输出前终审。只读取本任务所需模块，冲突按01处理，不重复拼接正文。季度复核指南版本，新增指南、药物说明书或院内流程变化时由消化、内镜、麻醉、病理与病案质控人员按职责修订；保留修订人、日期、原因、受影响条款和回归用例。</w:t>
      </w:r>
    </w:p>
    <w:p>
      <w:bookmarkStart w:id="8" w:name="s8"/>
      <w:pPr>
        <w:pStyle w:val="Heading1"/>
      </w:pPr>
      <w:r>
        <w:t>指南版本和适用章节</w:t>
      </w:r>
      <w:bookmarkEnd w:id="8"/>
    </w:p>
    <w:p>
      <w:pPr>
        <w:widowControl/>
      </w:pPr>
      <w:r>
        <w:t>核验基准日2026-10-26。来源编号及准确名称、发布机构、年份、可访问层级与链接见本章记录。书目或摘要不能代替全文推荐；未核原文的精确阈值、剂量、证据等级和固定复查间隔不成为自动生成规则。国际文献仅补充适用的定义和方法，须结合中国规范及院内授权。</w:t>
      </w:r>
    </w:p>
    <w:p>
      <w:pPr>
        <w:widowControl/>
      </w:pPr>
      <w:r>
        <w:t>R09 Hp；R10 R11 IBD；R12营养；R13—R17肝胆胰；R18出血；R21中国抗栓2025共识及R29国际补充，各有范围限制；R06麻醉用药责任。</w:t>
      </w:r>
    </w:p>
    <w:p>
      <w:bookmarkStart w:id="9" w:name="s9"/>
      <w:pPr>
        <w:pStyle w:val="Heading1"/>
      </w:pPr>
      <w:r>
        <w:t>逐条来源核验登记</w:t>
      </w:r>
      <w:bookmarkEnd w:id="9"/>
    </w:p>
    <w:p>
      <w:pPr>
        <w:pStyle w:val="Heading2"/>
      </w:pPr>
      <w:r>
        <w:t>R06 消化内镜诊疗镇静及麻醉管理中国指南 2026版</w:t>
      </w:r>
    </w:p>
    <w:p>
      <w:pPr>
        <w:widowControl/>
      </w:pPr>
      <w:r>
        <w:t>发布机构：国家消化内科专业医疗质量控制中心 国家麻醉专业医疗质量控制中心 中国医师协会内镜医师分会 中国日间手术合作联盟麻醉专业委员会。版本年份：2026。核验日期：2026-10-26。</w:t>
      </w:r>
    </w:p>
    <w:p>
      <w:pPr>
        <w:widowControl/>
      </w:pPr>
      <w:r>
        <w:t>实际核验层级：原刊题录及13页PDF已获取并提取，核对术前评估 监测 恢复与离院相关部分；未作全推荐逐条转录。</w:t>
      </w:r>
    </w:p>
    <w:p>
      <w:pPr>
        <w:widowControl/>
      </w:pPr>
      <w:r>
        <w:t>适用章节：05无痛内镜 06呼吸循环异常 07麻醉事实核对 09离院。</w:t>
      </w:r>
    </w:p>
    <w:p>
      <w:pPr>
        <w:widowControl/>
      </w:pPr>
      <w:r>
        <w:t>来源：https://xhyxzz.pumch.cn/article/doi/10.12290/xhyxzz.2026-0168?viewType=HTML</w:t>
      </w:r>
    </w:p>
    <w:p>
      <w:pPr>
        <w:widowControl/>
      </w:pPr>
      <w:r>
        <w:t>DOI：10.12290/xhyxzz.2026-0168</w:t>
      </w:r>
    </w:p>
    <w:p>
      <w:pPr>
        <w:pStyle w:val="Heading2"/>
      </w:pPr>
      <w:r>
        <w:t>R09 2022中国幽门螺杆菌感染治疗指南 及2026成人实践指南更新</w:t>
      </w:r>
    </w:p>
    <w:p>
      <w:pPr>
        <w:widowControl/>
      </w:pPr>
      <w:r>
        <w:t>发布机构：中华医学会消化病学分会幽门螺杆菌学组。版本年份：2022及2026。核验日期：2026-10-26。</w:t>
      </w:r>
    </w:p>
    <w:p>
      <w:pPr>
        <w:widowControl/>
      </w:pPr>
      <w:r>
        <w:t>实际核验层级：2026原始指南PubMed题录摘要及原刊目录已核；未获取2026全文。2022学会正文 https://www.jsma.net.cn/cn/zwh/content.aspx?committeeId=97&amp;oid=62087 可访问。2022不得称最新版。</w:t>
      </w:r>
    </w:p>
    <w:p>
      <w:pPr>
        <w:widowControl/>
      </w:pPr>
      <w:r>
        <w:t>适用章节：102和07现症感染 用药史 个体根除和复查；不从摘要自动填新方案剂量。</w:t>
      </w:r>
    </w:p>
    <w:p>
      <w:pPr>
        <w:widowControl/>
      </w:pPr>
      <w:r>
        <w:t>来源：https://pubmed.ncbi.nlm.nih.gov/42427040/</w:t>
      </w:r>
    </w:p>
    <w:p>
      <w:pPr>
        <w:widowControl/>
      </w:pPr>
      <w:r>
        <w:t>DOI：2026 10.3760/cma.j.cn112138-20260330-00183；2022 10.3760/cma.j.cn311367-20220929-00479</w:t>
      </w:r>
    </w:p>
    <w:p>
      <w:pPr>
        <w:pStyle w:val="Heading2"/>
      </w:pPr>
      <w:r>
        <w:t>R10 中国溃疡性结肠炎诊治指南 2023年 西安</w:t>
      </w:r>
    </w:p>
    <w:p>
      <w:pPr>
        <w:widowControl/>
      </w:pPr>
      <w:r>
        <w:t>发布机构：中华医学会消化病学分会炎症性肠病学组等 原刊署名为准。版本年份：2023版 2024发表。核验日期：2026-10-26。</w:t>
      </w:r>
    </w:p>
    <w:p>
      <w:pPr>
        <w:widowControl/>
      </w:pPr>
      <w:r>
        <w:t>实际核验层级：原刊指南专题题录和摘要；未获得全篇授权正文。</w:t>
      </w:r>
    </w:p>
    <w:p>
      <w:pPr>
        <w:widowControl/>
      </w:pPr>
      <w:r>
        <w:t>适用章节：104诊断证据 范围活动与治疗目标。</w:t>
      </w:r>
    </w:p>
    <w:p>
      <w:pPr>
        <w:widowControl/>
      </w:pPr>
      <w:r>
        <w:t>来源：https://zhyxcbzz.yiigle.com/topic/113.jspx</w:t>
      </w:r>
    </w:p>
    <w:p>
      <w:pPr>
        <w:widowControl/>
      </w:pPr>
      <w:r>
        <w:t>DOI：10.3760/cma.j.cn101480-20240123-00017</w:t>
      </w:r>
    </w:p>
    <w:p>
      <w:pPr>
        <w:pStyle w:val="Heading2"/>
      </w:pPr>
      <w:r>
        <w:t>R11 中国克罗恩病诊治指南 2023年 广州</w:t>
      </w:r>
    </w:p>
    <w:p>
      <w:pPr>
        <w:widowControl/>
      </w:pPr>
      <w:r>
        <w:t>发布机构：中华医学会消化病学分会炎症性肠病学组等 原刊署名为准。版本年份：2023版 2024发表。核验日期：2026-10-26。</w:t>
      </w:r>
    </w:p>
    <w:p>
      <w:pPr>
        <w:widowControl/>
      </w:pPr>
      <w:r>
        <w:t>实际核验层级：原刊指南专题题录和摘要；精确推荐待全文核对。</w:t>
      </w:r>
    </w:p>
    <w:p>
      <w:pPr>
        <w:widowControl/>
      </w:pPr>
      <w:r>
        <w:t>适用章节：104综合诊断 结构并发症与长期目标。</w:t>
      </w:r>
    </w:p>
    <w:p>
      <w:pPr>
        <w:widowControl/>
      </w:pPr>
      <w:r>
        <w:t>来源：https://zhyxcbzz.yiigle.com/topic/113.jspx</w:t>
      </w:r>
    </w:p>
    <w:p>
      <w:pPr>
        <w:widowControl/>
      </w:pPr>
      <w:r>
        <w:t>DOI：10.3760/cma.j.cn101480-20240108-00006</w:t>
      </w:r>
    </w:p>
    <w:p>
      <w:pPr>
        <w:pStyle w:val="Heading2"/>
      </w:pPr>
      <w:r>
        <w:t>R12 炎症性肠病营养治疗专家共识 第三版 及小肠克罗恩病的内镜诊治共识 2024 上海</w:t>
      </w:r>
    </w:p>
    <w:p>
      <w:pPr>
        <w:widowControl/>
      </w:pPr>
      <w:r>
        <w:t>发布机构：中华炎性肠病杂志原始共识作者组；完整组织署名需原文补核。版本年份：均2025发表。核验日期：2026-10-26。</w:t>
      </w:r>
    </w:p>
    <w:p>
      <w:pPr>
        <w:widowControl/>
      </w:pPr>
      <w:r>
        <w:t>实际核验层级：原刊目录确认题名 年份 DOI，完整作者组与细则待原文核；不冒称营养剂量已核。</w:t>
      </w:r>
    </w:p>
    <w:p>
      <w:pPr>
        <w:widowControl/>
      </w:pPr>
      <w:r>
        <w:t>适用章节：104及07 09营养和小肠内镜决策资料需求。</w:t>
      </w:r>
    </w:p>
    <w:p>
      <w:pPr>
        <w:widowControl/>
      </w:pPr>
      <w:r>
        <w:t>来源：https://zhyxcbzz.yiigle.com/topic/113.jspx</w:t>
      </w:r>
    </w:p>
    <w:p>
      <w:pPr>
        <w:widowControl/>
      </w:pPr>
      <w:r>
        <w:t>DOI：营养10.3760/cma.j.cn101480-20241230-00148；小肠10.3760/cma.j.cn101480-20250103-00004</w:t>
      </w:r>
    </w:p>
    <w:p>
      <w:pPr>
        <w:pStyle w:val="Heading2"/>
      </w:pPr>
      <w:r>
        <w:t>R14 肝硬化腹水诊疗指南 2023年版</w:t>
      </w:r>
    </w:p>
    <w:p>
      <w:pPr>
        <w:widowControl/>
      </w:pPr>
      <w:r>
        <w:t>发布机构：中华医学会肝病学分会。版本年份：2023。核验日期：2026-10-26。</w:t>
      </w:r>
    </w:p>
    <w:p>
      <w:pPr>
        <w:widowControl/>
      </w:pPr>
      <w:r>
        <w:t>实际核验层级：原始中文指南正文索引与可检索部分；未进行剂量条款全核。</w:t>
      </w:r>
    </w:p>
    <w:p>
      <w:pPr>
        <w:widowControl/>
      </w:pPr>
      <w:r>
        <w:t>适用章节：105腹水 SBP及HRS鉴别 07液体利尿 09监测。</w:t>
      </w:r>
    </w:p>
    <w:p>
      <w:pPr>
        <w:widowControl/>
      </w:pPr>
      <w:r>
        <w:t>来源：https://pmc.ncbi.nlm.nih.gov/articles/PMC12814629/</w:t>
      </w:r>
    </w:p>
    <w:p>
      <w:pPr>
        <w:pStyle w:val="Heading2"/>
      </w:pPr>
      <w:r>
        <w:t>R16 中国急性胰腺炎诊治指南 2021</w:t>
      </w:r>
    </w:p>
    <w:p>
      <w:pPr>
        <w:widowControl/>
      </w:pPr>
      <w:r>
        <w:t>发布机构：中华医学会外科学分会胰腺外科学组等原刊作者组。版本年份：2021。核验日期：2026-10-26。</w:t>
      </w:r>
    </w:p>
    <w:p>
      <w:pPr>
        <w:widowControl/>
      </w:pPr>
      <w:r>
        <w:t>实际核验层级：原刊题录摘要可核；作为已核中国基础版，不宣称最新或穷尽后续更新。</w:t>
      </w:r>
    </w:p>
    <w:p>
      <w:pPr>
        <w:widowControl/>
      </w:pPr>
      <w:r>
        <w:t>适用章节：106及107胰腺炎诊断与动态严重度。</w:t>
      </w:r>
    </w:p>
    <w:p>
      <w:pPr>
        <w:widowControl/>
      </w:pPr>
      <w:r>
        <w:t>来源：https://rs.yiigle.com/cmaid/1331236</w:t>
      </w:r>
    </w:p>
    <w:p>
      <w:pPr>
        <w:pStyle w:val="Heading2"/>
      </w:pPr>
      <w:r>
        <w:t>R18 急性非静脉曲张性上消化道出血诊治指南 2018年 杭州</w:t>
      </w:r>
    </w:p>
    <w:p>
      <w:pPr>
        <w:widowControl/>
      </w:pPr>
      <w:r>
        <w:t>发布机构：中华内科 中华医学 中华消化 中华消化内镜相关编委会及中国医师协会内镜相关专委会。版本年份：2018版 2019多刊发表。核验日期：2026-10-26。</w:t>
      </w:r>
    </w:p>
    <w:p>
      <w:pPr>
        <w:widowControl/>
      </w:pPr>
      <w:r>
        <w:t>实际核验层级：2018杭州成人原始指南PubMed题录摘要已核；不将儿童2024指南当成人更新；精确时窗和剂量仍需原文与院内路径。</w:t>
      </w:r>
    </w:p>
    <w:p>
      <w:pPr>
        <w:widowControl/>
      </w:pPr>
      <w:r>
        <w:t>适用章节：107出血证据 复苏与止血衔接；精确时窗和剂量不据未完整原文自动生成。</w:t>
      </w:r>
    </w:p>
    <w:p>
      <w:pPr>
        <w:widowControl/>
      </w:pPr>
      <w:r>
        <w:t>来源：https://pubmed.ncbi.nlm.nih.gov/30803174/</w:t>
      </w:r>
    </w:p>
    <w:p>
      <w:pPr>
        <w:pStyle w:val="Heading2"/>
      </w:pPr>
      <w:r>
        <w:t>R21 抗栓药物治疗患者超级微创手术围手术期管理专家共识 2025 北京</w:t>
      </w:r>
    </w:p>
    <w:p>
      <w:pPr>
        <w:widowControl/>
      </w:pPr>
      <w:r>
        <w:t>发布机构：中华医学会消化内镜学分会等原刊作者组。版本年份：2025。核验日期：2026-10-26。</w:t>
      </w:r>
    </w:p>
    <w:p>
      <w:pPr>
        <w:widowControl/>
      </w:pPr>
      <w:r>
        <w:t>实际核验层级：原刊页面及可见共识内容；范围为超级微创手术，不外推所有普通内镜。</w:t>
      </w:r>
    </w:p>
    <w:p>
      <w:pPr>
        <w:widowControl/>
      </w:pPr>
      <w:r>
        <w:t>适用章节：05 07抗栓双风险 决策及执行时间轴。</w:t>
      </w:r>
    </w:p>
    <w:p>
      <w:pPr>
        <w:widowControl/>
      </w:pPr>
      <w:r>
        <w:t>来源：https://zhwcnjdzzz.cma-cmc.com.cn/CN/10.3877/cma.j.issn.2095-7157.2025.01.003</w:t>
      </w:r>
    </w:p>
    <w:p>
      <w:pPr>
        <w:widowControl/>
      </w:pPr>
      <w:r>
        <w:t>DOI：10.3877/cma.j.issn.2095-7157.2025.01.003</w:t>
      </w:r>
    </w:p>
    <w:p>
      <w:pPr>
        <w:pStyle w:val="Heading2"/>
      </w:pPr>
      <w:r>
        <w:t>R29 International Digestive Endoscopy Network Consensus on management of antithrombotic agents</w:t>
      </w:r>
    </w:p>
    <w:p>
      <w:pPr>
        <w:widowControl/>
      </w:pPr>
      <w:r>
        <w:t>发布机构：IDEN。版本年份：2024。核验日期：2026-10-26。</w:t>
      </w:r>
    </w:p>
    <w:p>
      <w:pPr>
        <w:widowControl/>
      </w:pPr>
      <w:r>
        <w:t>实际核验层级：原始共识全文索引与摘要；国际补充而非中国处方准入。</w:t>
      </w:r>
    </w:p>
    <w:p>
      <w:pPr>
        <w:widowControl/>
      </w:pPr>
      <w:r>
        <w:t>适用章节：07围内镜出血和血栓风险，具体停药恢复以适用原文及团队。</w:t>
      </w:r>
    </w:p>
    <w:p>
      <w:pPr>
        <w:widowControl/>
      </w:pPr>
      <w:r>
        <w:t>来源：https://pmc.ncbi.nlm.nih.gov/articles/PMC12094006/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07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iragino Sans GB" w:hAnsi="Hiragino Sans GB" w:eastAsia="Hiragino Sans GB" w:cs="Hiragino Sans GB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00"/>
    </w:pPr>
    <w:rPr>
      <w:rFonts w:ascii="Hiragino Sans GB" w:hAnsi="Hiragino Sans GB" w:eastAsia="Hiragino Sans GB" w:cs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Hiragino Sans GB" w:hAnsi="Hiragino Sans GB" w:eastAsia="Hiragino Sans GB" w:cs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Hiragino Sans GB" w:hAnsi="Hiragino Sans GB" w:eastAsia="Hiragino Sans GB" w:cs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Hiragino Sans GB" w:hAnsi="Hiragino Sans GB" w:eastAsia="Hiragino Sans GB" w:cs="Hiragino Sans GB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iragino Sans GB" w:hAnsi="Hiragino Sans GB" w:eastAsia="Hiragino Sans GB" w:cs="Hiragino Sans GB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iragino Sans GB" w:hAnsi="Hiragino Sans GB" w:eastAsia="Hiragino Sans GB" w:cs="Hiragino Sans GB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="Hiragino Sans GB" w:hAnsi="Hiragino Sans GB" w:eastAsia="Hiragino Sans GB" w:cs="Hiragino Sans GB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iragino Sans GB" w:hAnsi="Hiragino Sans GB" w:eastAsia="Hiragino Sans GB" w:cs="Hiragino Sans GB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 w:after="120"/>
    </w:pPr>
    <w:rPr>
      <w:rFonts w:ascii="Hiragino Sans GB" w:hAnsi="Hiragino Sans GB" w:eastAsia="Hiragino Sans GB" w:cs="Hiragino Sans GB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iragino Sans GB" w:hAnsi="Hiragino Sans GB" w:eastAsia="Hiragino Sans GB" w:cs="Hiragino Sans GB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Hiragino Sans GB" w:hAnsi="Hiragino Sans GB" w:eastAsia="Hiragino Sans GB" w:cs="Hiragino Sans GB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 w:cs="Hiragino Sans GB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iragino Sans GB" w:hAnsi="Hiragino Sans GB" w:eastAsia="Hiragino Sans GB" w:cs="Hiragino Sans GB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iragino Sans GB" w:hAnsi="Hiragino Sans GB" w:eastAsia="Hiragino Sans GB" w:cs="Hiragino Sans GB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81" w:lineRule="auto" w:after="40"/>
    </w:pPr>
    <w:rPr>
      <w:rFonts w:ascii="Hiragino Sans GB" w:hAnsi="Hiragino Sans GB" w:eastAsia="Hiragino Sans GB" w:cs="Hiragino Sans GB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消化内科治疗决策用药营养支持及医嘱表达规则库</dc:title>
  <dc:subject>消化内科含胃肠镜AI病历书写系统V1.0</dc:subject>
  <dc:creator>病历模板库</dc:creator>
  <cp:keywords>消化内科 胃肠镜 医学文书 真实性 质控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