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消化系统慢病管理营养康复及出院随访模板库</w:t>
      </w:r>
    </w:p>
    <w:p>
      <w:pPr>
        <w:pStyle w:val="Subtitle"/>
      </w:pPr>
      <w:r>
        <w:t>消化内科含胃肠镜AI病历书写系统 V1.0</w:t>
      </w:r>
    </w:p>
    <w:p>
      <w:r>
        <w:t>模块编号 09　版本 V1.0　所属层级 第二级 通用医学文书功能层</w:t>
      </w:r>
    </w:p>
    <w:p>
      <w:r>
        <w:t>建设及资料核验日期 2026年10月26日</w:t>
      </w:r>
    </w:p>
    <w:p>
      <w:r>
        <w:t>功能定位 22项出院和长期随访</w:t>
      </w:r>
    </w:p>
    <w:p>
      <w:r>
        <w:t>适用范围 中国医院消化内科病房 消化内镜中心及相关协作诊疗的医师文书辅助</w:t>
      </w:r>
    </w:p>
    <w:p>
      <w:r>
        <w:t>本文件提供拟稿、证据整理和质控规则。临床诊疗、内镜操作、麻醉、处方、知情同意及签名由具备权限的医务人员实施。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1">
        <w:r>
          <w:t>01  出院与慢病任务的输入</w:t>
        </w:r>
      </w:hyperlink>
    </w:p>
    <w:p>
      <w:hyperlink w:anchor="s2">
        <w:r>
          <w:t>02  22类随访与恢复卡</w:t>
        </w:r>
      </w:hyperlink>
    </w:p>
    <w:p>
      <w:hyperlink w:anchor="s3">
        <w:r>
          <w:t>03  完整出院记录和医嘱</w:t>
        </w:r>
      </w:hyperlink>
    </w:p>
    <w:p>
      <w:hyperlink w:anchor="s4">
        <w:r>
          <w:t>04  虚构病例 病理待回出院</w:t>
        </w:r>
      </w:hyperlink>
    </w:p>
    <w:p>
      <w:hyperlink w:anchor="s5">
        <w:r>
          <w:t>05  事实限制 常见错误及质控</w:t>
        </w:r>
      </w:hyperlink>
    </w:p>
    <w:p>
      <w:hyperlink w:anchor="s6">
        <w:r>
          <w:t>06  协同与维护</w:t>
        </w:r>
      </w:hyperlink>
    </w:p>
    <w:p>
      <w:hyperlink w:anchor="s7">
        <w:r>
          <w:t>07  指南版本和适用章节</w:t>
        </w:r>
      </w:hyperlink>
    </w:p>
    <w:p>
      <w:hyperlink w:anchor="s8">
        <w:r>
          <w:t>08  逐条来源核验登记</w:t>
        </w:r>
      </w:hyperlink>
    </w:p>
    <w:p/>
    <w:p>
      <w:bookmarkStart w:id="1" w:name="s1"/>
      <w:pPr>
        <w:pStyle w:val="Heading1"/>
      </w:pPr>
      <w:r>
        <w:t>出院与慢病任务的输入</w:t>
      </w:r>
      <w:bookmarkEnd w:id="1"/>
    </w:p>
    <w:p>
      <w:pPr>
        <w:widowControl/>
      </w:pPr>
      <w:r>
        <w:t>自动调用出院、恢复、复查和长期管理。必需资料为最终诊断确定度、每次操作及病理、当前症状实查、实际用药、饮食营养、抗栓、支架引流与未完成事项、医师确认的随访安排。输出可落实的计划，不能以病名机械填同一个复查周期。</w:t>
      </w:r>
    </w:p>
    <w:p>
      <w:bookmarkStart w:id="2" w:name="s2"/>
      <w:pPr>
        <w:pStyle w:val="Heading1"/>
      </w:pPr>
      <w:r>
        <w:t>22类随访与恢复卡</w:t>
      </w:r>
      <w:bookmarkEnd w:id="2"/>
    </w:p>
    <w:p>
      <w:pPr>
        <w:pStyle w:val="Heading2"/>
      </w:pPr>
      <w:r>
        <w:t>01 消化性溃疡长期管理</w:t>
      </w:r>
    </w:p>
    <w:p>
      <w:pPr>
        <w:widowControl/>
      </w:pPr>
      <w:r>
        <w:t>必需资料：病因Hp与NSAIDs、溃疡性质、症状和愈合证据。</w:t>
      </w:r>
    </w:p>
    <w:p>
      <w:pPr>
        <w:widowControl/>
      </w:pPr>
      <w:r>
        <w:t>临床规则：胃溃疡恶性风险和复查目的明确，不以止痛等于愈合。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02 Hp根除后复查</w:t>
      </w:r>
    </w:p>
    <w:p>
      <w:pPr>
        <w:widowControl/>
      </w:pPr>
      <w:r>
        <w:t>必需资料：实际完成疗程、末次抗菌铋剂和抑酸药、检测方法。</w:t>
      </w:r>
    </w:p>
    <w:p>
      <w:pPr>
        <w:widowControl/>
      </w:pPr>
      <w:r>
        <w:t>临床规则：复查时机按方法和停药窗口核定，症状改善不等于根除成功。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03 慢性胃炎癌前病变</w:t>
      </w:r>
    </w:p>
    <w:p>
      <w:pPr>
        <w:widowControl/>
      </w:pPr>
      <w:r>
        <w:t>必需资料：萎缩肠化范围程度、异型增生、家族史、内镜质量。</w:t>
      </w:r>
    </w:p>
    <w:p>
      <w:pPr>
        <w:widowControl/>
      </w:pPr>
      <w:r>
        <w:t>临床规则：风险分层后由医师确认间隔，不能全部每年一次。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04 息肉切除后</w:t>
      </w:r>
    </w:p>
    <w:p>
      <w:pPr>
        <w:widowControl/>
      </w:pPr>
      <w:r>
        <w:t>必需资料：数目大小、组织学、完整性、准备质量及遗传风险。</w:t>
      </w:r>
    </w:p>
    <w:p>
      <w:pPr>
        <w:widowControl/>
      </w:pPr>
      <w:r>
        <w:t>临床规则：不同病灶分别评价，混瓶病理不能机械定间隔。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05 EMR后</w:t>
      </w:r>
    </w:p>
    <w:p>
      <w:pPr>
        <w:widowControl/>
      </w:pPr>
      <w:r>
        <w:t>必需资料：整块分片、切缘、残留复发和瘢痕。</w:t>
      </w:r>
    </w:p>
    <w:p>
      <w:pPr>
        <w:widowControl/>
      </w:pPr>
      <w:r>
        <w:t>临床规则：分片或不可评价需明确早期复评目的，不写统一周期。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06 ESD后</w:t>
      </w:r>
    </w:p>
    <w:p>
      <w:pPr>
        <w:widowControl/>
      </w:pPr>
      <w:r>
        <w:t>必需资料：器官、治愈性、局部和异时病灶风险。</w:t>
      </w:r>
    </w:p>
    <w:p>
      <w:pPr>
        <w:widowControl/>
      </w:pPr>
      <w:r>
        <w:t>临床规则：R0不独立替代治愈性评价。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07 早期肿瘤治疗后</w:t>
      </w:r>
    </w:p>
    <w:p>
      <w:pPr>
        <w:widowControl/>
      </w:pPr>
      <w:r>
        <w:t>必需资料：正式病理和分期范围、追加治疗决定。</w:t>
      </w:r>
    </w:p>
    <w:p>
      <w:pPr>
        <w:widowControl/>
      </w:pPr>
      <w:r>
        <w:t>临床规则：未决病理与MDT责任明确，出院不等于肿瘤治愈。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08 IBD长期</w:t>
      </w:r>
    </w:p>
    <w:p>
      <w:pPr>
        <w:widowControl/>
      </w:pPr>
      <w:r>
        <w:t>必需资料：症状、客观炎症、药物安全、营养及肠外病。</w:t>
      </w:r>
    </w:p>
    <w:p>
      <w:pPr>
        <w:widowControl/>
      </w:pPr>
      <w:r>
        <w:t>临床规则：临床缓解与内镜愈合区分，预防和癌症监测个体化。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09 生物制剂监测</w:t>
      </w:r>
    </w:p>
    <w:p>
      <w:pPr>
        <w:widowControl/>
      </w:pPr>
      <w:r>
        <w:t>必需资料：给药日程、感染筛查、疫苗、实验室和不良反应。</w:t>
      </w:r>
    </w:p>
    <w:p>
      <w:pPr>
        <w:widowControl/>
      </w:pPr>
      <w:r>
        <w:t>临床规则：下一次给药与复评由责任团队确认，感染或失应答触发复诊。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10 肝病长期</w:t>
      </w:r>
    </w:p>
    <w:p>
      <w:pPr>
        <w:widowControl/>
      </w:pPr>
      <w:r>
        <w:t>必需资料：病因治疗执行、肝肾凝血、病毒学和肿瘤风险。</w:t>
      </w:r>
    </w:p>
    <w:p>
      <w:pPr>
        <w:widowControl/>
      </w:pPr>
      <w:r>
        <w:t>临床规则：不能擅停抗病毒；按对应肝病路径随访。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11 肝硬化腹水</w:t>
      </w:r>
    </w:p>
    <w:p>
      <w:pPr>
        <w:widowControl/>
      </w:pPr>
      <w:r>
        <w:t>必需资料：体重腹围出入量、肾功能电解质和营养。</w:t>
      </w:r>
    </w:p>
    <w:p>
      <w:pPr>
        <w:widowControl/>
      </w:pPr>
      <w:r>
        <w:t>临床规则：利尿调整由医师确认，出现发热腹痛少尿意识变需及时就诊。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12 门静脉高压</w:t>
      </w:r>
    </w:p>
    <w:p>
      <w:pPr>
        <w:widowControl/>
      </w:pPr>
      <w:r>
        <w:t>必需资料：既往出血、内镜治疗和药物反应。</w:t>
      </w:r>
    </w:p>
    <w:p>
      <w:pPr>
        <w:widowControl/>
      </w:pPr>
      <w:r>
        <w:t>临床规则：序贯内镜和二级预防计划明确，不把未做复查写完成。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13 胆道支架</w:t>
      </w:r>
    </w:p>
    <w:p>
      <w:pPr>
        <w:widowControl/>
      </w:pPr>
      <w:r>
        <w:t>必需资料：类型位置、置入日、良恶性原因、通畅与器械计划。</w:t>
      </w:r>
    </w:p>
    <w:p>
      <w:pPr>
        <w:widowControl/>
      </w:pPr>
      <w:r>
        <w:t>临床规则：复查更换拔除的日期责任人和失联补救明确，不默认永久放置。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14 胰腺恢复期</w:t>
      </w:r>
    </w:p>
    <w:p>
      <w:pPr>
        <w:widowControl/>
      </w:pPr>
      <w:r>
        <w:t>必需资料：病因、症状、局部并发症、糖代谢和外分泌。</w:t>
      </w:r>
    </w:p>
    <w:p>
      <w:pPr>
        <w:widowControl/>
      </w:pPr>
      <w:r>
        <w:t>临床规则：复查影像和营养按病程与并发症决定。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15 营养支持饮食</w:t>
      </w:r>
    </w:p>
    <w:p>
      <w:pPr>
        <w:widowControl/>
      </w:pPr>
      <w:r>
        <w:t>必需资料：摄入耐受、营养风险、误吸和再喂养。</w:t>
      </w:r>
    </w:p>
    <w:p>
      <w:pPr>
        <w:widowControl/>
      </w:pPr>
      <w:r>
        <w:t>临床规则：目标与实际摄入分开，个体能量蛋白由团队确认。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16 内镜后饮食</w:t>
      </w:r>
    </w:p>
    <w:p>
      <w:pPr>
        <w:widowControl/>
      </w:pPr>
      <w:r>
        <w:t>必需资料：具体操作、创面、麻醉恢复、出血穿孔风险。</w:t>
      </w:r>
    </w:p>
    <w:p>
      <w:pPr>
        <w:widowControl/>
      </w:pPr>
      <w:r>
        <w:t>临床规则：仅按已确认许可进阶，不用术后日自动开食。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17 出院病理</w:t>
      </w:r>
    </w:p>
    <w:p>
      <w:pPr>
        <w:widowControl/>
      </w:pPr>
      <w:r>
        <w:t>必需资料：病灶标本、送检日、预计追踪渠道和责任。</w:t>
      </w:r>
    </w:p>
    <w:p>
      <w:pPr>
        <w:widowControl/>
      </w:pPr>
      <w:r>
        <w:t>临床规则：未回报保留待查诊断并指明追踪，不丢失。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18 出院药物</w:t>
      </w:r>
    </w:p>
    <w:p>
      <w:pPr>
        <w:widowControl/>
      </w:pPr>
      <w:r>
        <w:t>必需资料：家庭药、住院新增已停和重复药、抗栓。</w:t>
      </w:r>
    </w:p>
    <w:p>
      <w:pPr>
        <w:widowControl/>
      </w:pPr>
      <w:r>
        <w:t>临床规则：逐药核名称剂量频次途径疗程与实际恢复状态。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19 未完成检查</w:t>
      </w:r>
    </w:p>
    <w:p>
      <w:pPr>
        <w:widowControl/>
      </w:pPr>
      <w:r>
        <w:t>必需资料：项目、原因、紧急程度、预约状态。</w:t>
      </w:r>
    </w:p>
    <w:p>
      <w:pPr>
        <w:widowControl/>
      </w:pPr>
      <w:r>
        <w:t>临床规则：拟做与已预约分开，明确负责人与回报处理。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20 胃肠镜复查</w:t>
      </w:r>
    </w:p>
    <w:p>
      <w:pPr>
        <w:widowControl/>
      </w:pPr>
      <w:r>
        <w:t>必需资料：原诊断、病理、切除质量、观察范围和患者因素。</w:t>
      </w:r>
    </w:p>
    <w:p>
      <w:pPr>
        <w:widowControl/>
      </w:pPr>
      <w:r>
        <w:t>临床规则：具体间隔由已核适用规则和医师决定；无资料时写待确认。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21 再出血警示</w:t>
      </w:r>
    </w:p>
    <w:p>
      <w:pPr>
        <w:widowControl/>
      </w:pPr>
      <w:r>
        <w:t>必需资料：呕血黑便便血、晕厥心悸、腹痛发热。</w:t>
      </w:r>
    </w:p>
    <w:p>
      <w:pPr>
        <w:widowControl/>
      </w:pPr>
      <w:r>
        <w:t>临床规则：明确严重症状立即就医，不能仅写不适随诊。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pPr>
        <w:pStyle w:val="Heading2"/>
      </w:pPr>
      <w:r>
        <w:t>22 出院与长期衔接</w:t>
      </w:r>
    </w:p>
    <w:p>
      <w:pPr>
        <w:widowControl/>
      </w:pPr>
      <w:r>
        <w:t>必需资料：出院状态、治疗目标、患者能力和随访可及性。</w:t>
      </w:r>
    </w:p>
    <w:p>
      <w:pPr>
        <w:widowControl/>
      </w:pPr>
      <w:r>
        <w:t>临床规则：记录真实教育与理解核对，模板不证明已宣教。</w:t>
      </w:r>
    </w:p>
    <w:p>
      <w:pPr>
        <w:widowControl/>
      </w:pPr>
      <w:r>
        <w:t>可用条款：针对【本例问题】，出院后【医师确认的具体安排】，于【已确认时点或条件】在【机构/科室】复查【项目及目的】，由【责任方】追踪【未决结果】，出现【个体警示症状】按【明确就医安排】处理。未确认时点不能在净稿伪填日期。</w:t>
      </w:r>
    </w:p>
    <w:p>
      <w:bookmarkStart w:id="3" w:name="s3"/>
      <w:pPr>
        <w:pStyle w:val="Heading1"/>
      </w:pPr>
      <w:r>
        <w:t>完整出院记录和医嘱</w:t>
      </w:r>
      <w:bookmarkEnd w:id="3"/>
    </w:p>
    <w:p>
      <w:pPr>
        <w:widowControl/>
      </w:pPr>
      <w:r>
        <w:t>【实际记录日期时间】 内镜治疗后出院记录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入院情况：【真实症状及主要依据】</w:t>
      </w:r>
    </w:p>
    <w:p>
      <w:pPr>
        <w:pStyle w:val="Code"/>
        <w:keepLines w:val="0"/>
        <w:widowControl/>
      </w:pPr>
      <w:r>
        <w:t>诊疗经过：【每次胃肠镜或治疗日期、实际范围与方式、各病灶标本病理和诊断变化、实际药物及疗效】</w:t>
      </w:r>
    </w:p>
    <w:p>
      <w:pPr>
        <w:pStyle w:val="Code"/>
        <w:keepLines w:val="0"/>
        <w:widowControl/>
      </w:pPr>
      <w:r>
        <w:t>出院诊断：【确诊、待查与病理未决分别表达】</w:t>
      </w:r>
    </w:p>
    <w:p>
      <w:pPr>
        <w:pStyle w:val="Code"/>
        <w:keepLines w:val="0"/>
        <w:widowControl/>
      </w:pPr>
      <w:r>
        <w:t>出院情况：【当次症状、实查、进食及检查情况】</w:t>
      </w:r>
    </w:p>
    <w:p>
      <w:pPr>
        <w:pStyle w:val="Code"/>
        <w:keepLines w:val="0"/>
        <w:widowControl/>
      </w:pPr>
      <w:r>
        <w:t>出院医嘱：【确认药物、饮食活动、抗栓执行与计划、支架/引流复查、待回病理责任、复查项目和警示症状】</w:t>
      </w:r>
    </w:p>
    <w:p>
      <w:pPr>
        <w:pStyle w:val="Code"/>
      </w:pPr>
      <w:r>
        <w:t>```</w:t>
      </w:r>
    </w:p>
    <w:p>
      <w:pPr>
        <w:widowControl/>
      </w:pPr>
      <w:r>
        <w:t>【实际记录日期时间】 出院随访医嘱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用药：【已核药名、剂量、途径、频次、疗程及调整事项】</w:t>
      </w:r>
    </w:p>
    <w:p>
      <w:pPr>
        <w:pStyle w:val="Code"/>
        <w:keepLines w:val="0"/>
        <w:widowControl/>
      </w:pPr>
      <w:r>
        <w:t>饮食与活动：【针对实际操作和营养状态的许可】</w:t>
      </w:r>
    </w:p>
    <w:p>
      <w:pPr>
        <w:pStyle w:val="Code"/>
        <w:keepLines w:val="0"/>
        <w:widowControl/>
      </w:pPr>
      <w:r>
        <w:t>病理及未决问题：【具体病灶标本、追踪时间、渠道及责任人】</w:t>
      </w:r>
    </w:p>
    <w:p>
      <w:pPr>
        <w:pStyle w:val="Code"/>
        <w:keepLines w:val="0"/>
        <w:widowControl/>
      </w:pPr>
      <w:r>
        <w:t>复查与装置管理：【已确认日期/条件、科室、检查目的和支架更换拔除安排】</w:t>
      </w:r>
    </w:p>
    <w:p>
      <w:pPr>
        <w:pStyle w:val="Code"/>
        <w:keepLines w:val="0"/>
        <w:widowControl/>
      </w:pPr>
      <w:r>
        <w:t>就医警示：【呕血、黑便、便血、晕厥或明显腹痛发热等对应紧急程度及就医方式】</w:t>
      </w:r>
    </w:p>
    <w:p>
      <w:pPr>
        <w:pStyle w:val="Code"/>
      </w:pPr>
      <w:r>
        <w:t>```</w:t>
      </w:r>
    </w:p>
    <w:p>
      <w:bookmarkStart w:id="4" w:name="s4"/>
      <w:pPr>
        <w:pStyle w:val="Heading1"/>
      </w:pPr>
      <w:r>
        <w:t>虚构病例 病理待回出院</w:t>
      </w:r>
      <w:bookmarkEnd w:id="4"/>
    </w:p>
    <w:p>
      <w:pPr>
        <w:widowControl/>
      </w:pPr>
      <w:r>
        <w:t>SIM-GI-09/E01，10月25日结肠EMR，10月26日医师评估可出院；当日无腹痛便血，实查腹软无压痛；病理待回。实际计划3个工作日内由消化门诊追踪病理，复查肠镜间隔待病理与切除评价后定。未提供出院药物，不生成药名。</w:t>
      </w:r>
    </w:p>
    <w:p>
      <w:pPr>
        <w:widowControl/>
      </w:pPr>
      <w:r>
        <w:t>2026年10月26日 14:00 出院安排记录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结肠EMR后，当日无腹痛、便血，查体腹软、无压痛，责任医师评估可出院。切除标本病理尚未回报，计划3个工作日内由消化门诊追踪并复核诊断及后续治疗，肠镜复查间隔待病理和切除评价后确定。出院后如出现呕血、黑便、明显便血、晕厥、持续或加重腹痛、发热等，应及时就医，严重症状立即急诊评估。</w:t>
      </w:r>
    </w:p>
    <w:p>
      <w:pPr>
        <w:pStyle w:val="Code"/>
      </w:pPr>
      <w:r>
        <w:t>```</w:t>
      </w:r>
    </w:p>
    <w:p>
      <w:bookmarkStart w:id="5" w:name="s5"/>
      <w:pPr>
        <w:pStyle w:val="Heading1"/>
      </w:pPr>
      <w:r>
        <w:t>事实限制 常见错误及质控</w:t>
      </w:r>
      <w:bookmarkEnd w:id="5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每个未回病理、抗栓恢复、支架复查都有责任和渠道；出院药物与已停药无冲突；复查时点有患者特异依据；没有假写宣教完成与治愈。</w:t>
      </w:r>
    </w:p>
    <w:p>
      <w:pPr>
        <w:widowControl/>
      </w:pPr>
      <w:r>
        <w:t>不得将模板建议改写成已执行处置。症状减轻不等于黏膜愈合，技术完成不等于病理治愈，未记录并发症不等于已经排除。</w:t>
      </w:r>
    </w:p>
    <w:p>
      <w:bookmarkStart w:id="6" w:name="s6"/>
      <w:pPr>
        <w:pStyle w:val="Heading1"/>
      </w:pPr>
      <w:r>
        <w:t>协同与维护</w:t>
      </w:r>
      <w:bookmarkEnd w:id="6"/>
    </w:p>
    <w:p>
      <w:pPr>
        <w:widowControl/>
      </w:pPr>
      <w:r>
        <w:t>00为唯一入口，01最高规则，11管理身份和事件，02—09提供任务功能，101—108补充对应疾病知识，10输出前终审。只读取本任务所需模块，冲突按01处理，不重复拼接正文。季度复核指南版本，新增指南、药物说明书或院内流程变化时由消化、内镜、麻醉、病理与病案质控人员按职责修订；保留修订人、日期、原因、受影响条款和回归用例。</w:t>
      </w:r>
    </w:p>
    <w:p>
      <w:bookmarkStart w:id="7" w:name="s7"/>
      <w:pPr>
        <w:pStyle w:val="Heading1"/>
      </w:pPr>
      <w:r>
        <w:t>指南版本和适用章节</w:t>
      </w:r>
      <w:bookmarkEnd w:id="7"/>
    </w:p>
    <w:p>
      <w:pPr>
        <w:widowControl/>
      </w:pPr>
      <w:r>
        <w:t>核验基准日2026-10-26。来源编号及准确名称、发布机构、年份、可访问层级与链接见本章记录。书目或摘要不能代替全文推荐；未核原文的精确阈值、剂量、证据等级和固定复查间隔不成为自动生成规则。国际文献仅补充适用的定义和方法，须结合中国规范及院内授权。</w:t>
      </w:r>
    </w:p>
    <w:p>
      <w:pPr>
        <w:widowControl/>
      </w:pPr>
      <w:r>
        <w:t>R07—R15为慢病随访；R12营养；R19支架；R22—R25为切除、早癌和风险分层；R06为镇静后离院协作。</w:t>
      </w:r>
    </w:p>
    <w:p>
      <w:bookmarkStart w:id="8" w:name="s8"/>
      <w:pPr>
        <w:pStyle w:val="Heading1"/>
      </w:pPr>
      <w:r>
        <w:t>逐条来源核验登记</w:t>
      </w:r>
      <w:bookmarkEnd w:id="8"/>
    </w:p>
    <w:p>
      <w:pPr>
        <w:pStyle w:val="Heading2"/>
      </w:pPr>
      <w:r>
        <w:t>R06 消化内镜诊疗镇静及麻醉管理中国指南 2026版</w:t>
      </w:r>
    </w:p>
    <w:p>
      <w:pPr>
        <w:widowControl/>
      </w:pPr>
      <w:r>
        <w:t>发布机构：国家消化内科专业医疗质量控制中心 国家麻醉专业医疗质量控制中心 中国医师协会内镜医师分会 中国日间手术合作联盟麻醉专业委员会。版本年份：2026。核验日期：2026-10-26。</w:t>
      </w:r>
    </w:p>
    <w:p>
      <w:pPr>
        <w:widowControl/>
      </w:pPr>
      <w:r>
        <w:t>实际核验层级：原刊题录及13页PDF已获取并提取，核对术前评估 监测 恢复与离院相关部分；未作全推荐逐条转录。</w:t>
      </w:r>
    </w:p>
    <w:p>
      <w:pPr>
        <w:widowControl/>
      </w:pPr>
      <w:r>
        <w:t>适用章节：05无痛内镜 06呼吸循环异常 07麻醉事实核对 09离院。</w:t>
      </w:r>
    </w:p>
    <w:p>
      <w:pPr>
        <w:widowControl/>
      </w:pPr>
      <w:r>
        <w:t>来源：https://xhyxzz.pumch.cn/article/doi/10.12290/xhyxzz.2026-0168?viewType=HTML</w:t>
      </w:r>
    </w:p>
    <w:p>
      <w:pPr>
        <w:widowControl/>
      </w:pPr>
      <w:r>
        <w:t>DOI：10.12290/xhyxzz.2026-0168</w:t>
      </w:r>
    </w:p>
    <w:p>
      <w:pPr>
        <w:pStyle w:val="Heading2"/>
      </w:pPr>
      <w:r>
        <w:t>R08 中国慢性胃炎诊治指南 2022年 上海</w:t>
      </w:r>
    </w:p>
    <w:p>
      <w:pPr>
        <w:widowControl/>
      </w:pPr>
      <w:r>
        <w:t>发布机构：中华医学会消化病学分会。版本年份：2022版 2023发表。核验日期：2026-10-26。</w:t>
      </w:r>
    </w:p>
    <w:p>
      <w:pPr>
        <w:widowControl/>
      </w:pPr>
      <w:r>
        <w:t>实际核验层级：原刊题录与试读；全文需权限；大学机构库仅作辅助题录比对。</w:t>
      </w:r>
    </w:p>
    <w:p>
      <w:pPr>
        <w:widowControl/>
      </w:pPr>
      <w:r>
        <w:t>适用章节：102胃炎 萎缩肠化 病理分层及风险随访。</w:t>
      </w:r>
    </w:p>
    <w:p>
      <w:pPr>
        <w:widowControl/>
      </w:pPr>
      <w:r>
        <w:t>来源：https://rs.yiigle.com/cmaid/1457467</w:t>
      </w:r>
    </w:p>
    <w:p>
      <w:pPr>
        <w:pStyle w:val="Heading2"/>
      </w:pPr>
      <w:r>
        <w:t>R09 2022中国幽门螺杆菌感染治疗指南 及2026成人实践指南更新</w:t>
      </w:r>
    </w:p>
    <w:p>
      <w:pPr>
        <w:widowControl/>
      </w:pPr>
      <w:r>
        <w:t>发布机构：中华医学会消化病学分会幽门螺杆菌学组。版本年份：2022及2026。核验日期：2026-10-26。</w:t>
      </w:r>
    </w:p>
    <w:p>
      <w:pPr>
        <w:widowControl/>
      </w:pPr>
      <w:r>
        <w:t>实际核验层级：2026原始指南PubMed题录摘要及原刊目录已核；未获取2026全文。2022学会正文 https://www.jsma.net.cn/cn/zwh/content.aspx?committeeId=97&amp;oid=62087 可访问。2022不得称最新版。</w:t>
      </w:r>
    </w:p>
    <w:p>
      <w:pPr>
        <w:widowControl/>
      </w:pPr>
      <w:r>
        <w:t>适用章节：102和07现症感染 用药史 个体根除和复查；不从摘要自动填新方案剂量。</w:t>
      </w:r>
    </w:p>
    <w:p>
      <w:pPr>
        <w:widowControl/>
      </w:pPr>
      <w:r>
        <w:t>来源：https://pubmed.ncbi.nlm.nih.gov/42427040/</w:t>
      </w:r>
    </w:p>
    <w:p>
      <w:pPr>
        <w:widowControl/>
      </w:pPr>
      <w:r>
        <w:t>DOI：2026 10.3760/cma.j.cn112138-20260330-00183；2022 10.3760/cma.j.cn311367-20220929-00479</w:t>
      </w:r>
    </w:p>
    <w:p>
      <w:pPr>
        <w:pStyle w:val="Heading2"/>
      </w:pPr>
      <w:r>
        <w:t>R10 中国溃疡性结肠炎诊治指南 2023年 西安</w:t>
      </w:r>
    </w:p>
    <w:p>
      <w:pPr>
        <w:widowControl/>
      </w:pPr>
      <w:r>
        <w:t>发布机构：中华医学会消化病学分会炎症性肠病学组等 原刊署名为准。版本年份：2023版 2024发表。核验日期：2026-10-26。</w:t>
      </w:r>
    </w:p>
    <w:p>
      <w:pPr>
        <w:widowControl/>
      </w:pPr>
      <w:r>
        <w:t>实际核验层级：原刊指南专题题录和摘要；未获得全篇授权正文。</w:t>
      </w:r>
    </w:p>
    <w:p>
      <w:pPr>
        <w:widowControl/>
      </w:pPr>
      <w:r>
        <w:t>适用章节：104诊断证据 范围活动与治疗目标。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DOI：10.3760/cma.j.cn101480-20240123-00017</w:t>
      </w:r>
    </w:p>
    <w:p>
      <w:pPr>
        <w:pStyle w:val="Heading2"/>
      </w:pPr>
      <w:r>
        <w:t>R11 中国克罗恩病诊治指南 2023年 广州</w:t>
      </w:r>
    </w:p>
    <w:p>
      <w:pPr>
        <w:widowControl/>
      </w:pPr>
      <w:r>
        <w:t>发布机构：中华医学会消化病学分会炎症性肠病学组等 原刊署名为准。版本年份：2023版 2024发表。核验日期：2026-10-26。</w:t>
      </w:r>
    </w:p>
    <w:p>
      <w:pPr>
        <w:widowControl/>
      </w:pPr>
      <w:r>
        <w:t>实际核验层级：原刊指南专题题录和摘要；精确推荐待全文核对。</w:t>
      </w:r>
    </w:p>
    <w:p>
      <w:pPr>
        <w:widowControl/>
      </w:pPr>
      <w:r>
        <w:t>适用章节：104综合诊断 结构并发症与长期目标。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DOI：10.3760/cma.j.cn101480-20240108-00006</w:t>
      </w:r>
    </w:p>
    <w:p>
      <w:pPr>
        <w:pStyle w:val="Heading2"/>
      </w:pPr>
      <w:r>
        <w:t>R12 炎症性肠病营养治疗专家共识 第三版 及小肠克罗恩病的内镜诊治共识 2024 上海</w:t>
      </w:r>
    </w:p>
    <w:p>
      <w:pPr>
        <w:widowControl/>
      </w:pPr>
      <w:r>
        <w:t>发布机构：中华炎性肠病杂志原始共识作者组；完整组织署名需原文补核。版本年份：均2025发表。核验日期：2026-10-26。</w:t>
      </w:r>
    </w:p>
    <w:p>
      <w:pPr>
        <w:widowControl/>
      </w:pPr>
      <w:r>
        <w:t>实际核验层级：原刊目录确认题名 年份 DOI，完整作者组与细则待原文核；不冒称营养剂量已核。</w:t>
      </w:r>
    </w:p>
    <w:p>
      <w:pPr>
        <w:widowControl/>
      </w:pPr>
      <w:r>
        <w:t>适用章节：104及07 09营养和小肠内镜决策资料需求。</w:t>
      </w:r>
    </w:p>
    <w:p>
      <w:pPr>
        <w:widowControl/>
      </w:pPr>
      <w:r>
        <w:t>来源：https://zhyxcbzz.yiigle.com/topic/113.jspx</w:t>
      </w:r>
    </w:p>
    <w:p>
      <w:pPr>
        <w:widowControl/>
      </w:pPr>
      <w:r>
        <w:t>DOI：营养10.3760/cma.j.cn101480-20241230-00148；小肠10.3760/cma.j.cn101480-20250103-00004</w:t>
      </w:r>
    </w:p>
    <w:p>
      <w:pPr>
        <w:pStyle w:val="Heading2"/>
      </w:pPr>
      <w:r>
        <w:t>R14 肝硬化腹水诊疗指南 2023年版</w:t>
      </w:r>
    </w:p>
    <w:p>
      <w:pPr>
        <w:widowControl/>
      </w:pPr>
      <w:r>
        <w:t>发布机构：中华医学会肝病学分会。版本年份：2023。核验日期：2026-10-26。</w:t>
      </w:r>
    </w:p>
    <w:p>
      <w:pPr>
        <w:widowControl/>
      </w:pPr>
      <w:r>
        <w:t>实际核验层级：原始中文指南正文索引与可检索部分；未进行剂量条款全核。</w:t>
      </w:r>
    </w:p>
    <w:p>
      <w:pPr>
        <w:widowControl/>
      </w:pPr>
      <w:r>
        <w:t>适用章节：105腹水 SBP及HRS鉴别 07液体利尿 09监测。</w:t>
      </w:r>
    </w:p>
    <w:p>
      <w:pPr>
        <w:widowControl/>
      </w:pPr>
      <w:r>
        <w:t>来源：https://pmc.ncbi.nlm.nih.gov/articles/PMC12814629/</w:t>
      </w:r>
    </w:p>
    <w:p>
      <w:pPr>
        <w:pStyle w:val="Heading2"/>
      </w:pPr>
      <w:r>
        <w:t>R19 中国ERCP指南 2018版</w:t>
      </w:r>
    </w:p>
    <w:p>
      <w:pPr>
        <w:widowControl/>
      </w:pPr>
      <w:r>
        <w:t>发布机构：中华医学会消化内镜学分会ERCP学组 中国医师协会消化医师分会胆胰学组 国家消化系统疾病临床医学研究中心。版本年份：2018。核验日期：2026-10-26。</w:t>
      </w:r>
    </w:p>
    <w:p>
      <w:pPr>
        <w:widowControl/>
      </w:pPr>
      <w:r>
        <w:t>实际核验层级：原始指南题名署名及期刊PDF首页索引可核；全文推荐未逐条复核，不称2018为最新。</w:t>
      </w:r>
    </w:p>
    <w:p>
      <w:pPr>
        <w:widowControl/>
      </w:pPr>
      <w:r>
        <w:t>适用章节：05及106 ERCP实际步骤 取石支架与并发症。</w:t>
      </w:r>
    </w:p>
    <w:p>
      <w:pPr>
        <w:widowControl/>
      </w:pPr>
      <w:r>
        <w:t>来源：https://doi.org/10.3760/cma.j.issn.1007-5232.2018.11.001</w:t>
      </w:r>
    </w:p>
    <w:p>
      <w:pPr>
        <w:widowControl/>
      </w:pPr>
      <w:r>
        <w:t>DOI：10.3760/cma.j.issn.1007-5232.2018.11.001</w:t>
      </w:r>
    </w:p>
    <w:p>
      <w:pPr>
        <w:pStyle w:val="Heading2"/>
      </w:pPr>
      <w:r>
        <w:t>R22 中国结直肠息肉冷切专家共识 2023年 杭州</w:t>
      </w:r>
    </w:p>
    <w:p>
      <w:pPr>
        <w:widowControl/>
      </w:pPr>
      <w:r>
        <w:t>发布机构：中华医学会消化内镜学分会。版本年份：2023。核验日期：2026-10-26。</w:t>
      </w:r>
    </w:p>
    <w:p>
      <w:pPr>
        <w:widowControl/>
      </w:pPr>
      <w:r>
        <w:t>实际核验层级：原刊题录和正文页面可访问。</w:t>
      </w:r>
    </w:p>
    <w:p>
      <w:pPr>
        <w:widowControl/>
      </w:pPr>
      <w:r>
        <w:t>适用章节：05及108冷切与其他方式分开 切除和病理评价。</w:t>
      </w:r>
    </w:p>
    <w:p>
      <w:pPr>
        <w:widowControl/>
      </w:pPr>
      <w:r>
        <w:t>来源：https://zhwcnjdzzz.cma-cmc.com.cn/CN/10.3877/cma.j.issn.2095-7157.2023.02.001</w:t>
      </w:r>
    </w:p>
    <w:p>
      <w:pPr>
        <w:widowControl/>
      </w:pPr>
      <w:r>
        <w:t>DOI：10.3877/cma.j.issn.2095-7157.2023.02.001</w:t>
      </w:r>
    </w:p>
    <w:p>
      <w:pPr>
        <w:pStyle w:val="Heading2"/>
      </w:pPr>
      <w:r>
        <w:t>R23 胃内镜黏膜下剥离术围手术期指南 2025版 及中国早期胃癌内镜诊治共识 2023 太原</w:t>
      </w:r>
    </w:p>
    <w:p>
      <w:pPr>
        <w:widowControl/>
      </w:pPr>
      <w:r>
        <w:t>发布机构：胃ESD 国家消化系统疾病临床医学研究中心 中华医学会消化内镜学分会 中国医师协会消化医师分会；早胃癌 中华医学会消化内镜学分会。版本年份：2025及2023版。核验日期：2026-10-26。</w:t>
      </w:r>
    </w:p>
    <w:p>
      <w:pPr>
        <w:widowControl/>
      </w:pPr>
      <w:r>
        <w:t>实际核验层级：2025原刊PDF链接获取失败，题录信息待原刊全文进一步核；2023太原原始文献SinoMed记录可核 https://www.sinomed.ac.cn/article.do?ui=2024383721 。不把解读或2017旧文当2025原文。</w:t>
      </w:r>
    </w:p>
    <w:p>
      <w:pPr>
        <w:widowControl/>
      </w:pPr>
      <w:r>
        <w:t>适用章节：05及108胃ESD围期资料要求与病理治愈性边界；不固化未核精确阈值。</w:t>
      </w:r>
    </w:p>
    <w:p>
      <w:pPr>
        <w:widowControl/>
      </w:pPr>
      <w:r>
        <w:t>来源：https://doi.org/10.3760/cma.j.cn321463-20250110-00017</w:t>
      </w:r>
    </w:p>
    <w:p>
      <w:pPr>
        <w:widowControl/>
      </w:pPr>
      <w:r>
        <w:t>DOI：2025 10.3760/cma.j.cn321463-20250110-00017</w:t>
      </w:r>
    </w:p>
    <w:p>
      <w:pPr>
        <w:pStyle w:val="Heading2"/>
      </w:pPr>
      <w:r>
        <w:t>R25 食管癌筛查与早诊早治方案 胃癌筛查与早诊早治方案 2024年版；胃癌诊疗指南2022年版</w:t>
      </w:r>
    </w:p>
    <w:p>
      <w:pPr>
        <w:widowControl/>
      </w:pPr>
      <w:r>
        <w:t>发布机构：国家卫生健康委办公厅；胃癌2022国家卫生健康委医政医管局。版本年份：2024及2022。核验日期：2026-10-26。</w:t>
      </w:r>
    </w:p>
    <w:p>
      <w:pPr>
        <w:widowControl/>
      </w:pPr>
      <w:r>
        <w:t>实际核验层级：2024官方方案正文；2022胃癌原刊记录 https://rs.yiigle.com/cmaid/1428599 。不是全消化肿瘤TNM通用更新。</w:t>
      </w:r>
    </w:p>
    <w:p>
      <w:pPr>
        <w:widowControl/>
      </w:pPr>
      <w:r>
        <w:t>适用章节：101 102 108癌前 早癌及病理分期所需字段；体系版本须另核。</w:t>
      </w:r>
    </w:p>
    <w:p>
      <w:pPr>
        <w:widowControl/>
      </w:pPr>
      <w:r>
        <w:t>来源：https://www.nhc.gov.cn/ylyjs/gzdt/202406/2bb28e7a39ce4734bee4e31ff5442e0f.shtml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09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="Hiragino Sans GB" w:hAnsi="Hiragino Sans GB" w:eastAsia="Hiragino Sans GB" w:cs="Hiragino Sans GB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81" w:lineRule="auto" w:after="40"/>
    </w:pPr>
    <w:rPr>
      <w:rFonts w:ascii="Hiragino Sans GB" w:hAnsi="Hiragino Sans GB" w:eastAsia="Hiragino Sans GB" w:cs="Hiragino Sans GB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消化系统慢病管理营养康复及出院随访模板库</dc:title>
  <dc:subject>消化内科含胃肠镜AI病历书写系统V1.0</dc:subject>
  <dc:creator>病历模板库</dc:creator>
  <cp:keywords>消化内科 胃肠镜 医学文书 真实性 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