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104 炎症性肠病及慢性肠道炎症专病模板库</w:t>
      </w:r>
    </w:p>
    <w:p>
      <w:pPr>
        <w:pStyle w:val="Subtitle"/>
      </w:pPr>
      <w:r>
        <w:t>消化内科含胃肠镜AI病历书写系统 V1.0</w:t>
      </w:r>
    </w:p>
    <w:p>
      <w:r>
        <w:t>模块编号 104　版本 V1.0　所属层级 第三级 消化内科专病层</w:t>
      </w:r>
    </w:p>
    <w:p>
      <w:r>
        <w:t>建设及资料核验日期 2026年10月26日</w:t>
      </w:r>
    </w:p>
    <w:p>
      <w:r>
        <w:t>功能定位 UC CD及高级治疗监测</w:t>
      </w:r>
    </w:p>
    <w:p>
      <w:r>
        <w:t>适用范围 中国医院消化内科病房 消化内镜中心及相关协作诊疗的医师文书辅助</w:t>
      </w:r>
    </w:p>
    <w:p>
      <w:r>
        <w:t>本文件提供拟稿、证据整理和质控规则。临床诊疗、内镜操作、麻醉、处方、知情同意及签名由具备权限的医务人员实施。</w:t>
      </w:r>
    </w:p>
    <w:p>
      <w:r>
        <w:br w:type="page"/>
      </w:r>
    </w:p>
    <w:p>
      <w:pPr>
        <w:pStyle w:val="Heading1"/>
      </w:pPr>
      <w:r>
        <w:t>目录</w:t>
      </w:r>
    </w:p>
    <w:p>
      <w:hyperlink w:anchor="s1">
        <w:r>
          <w:t>01  模块定位 调用条件及必需资料</w:t>
        </w:r>
      </w:hyperlink>
    </w:p>
    <w:p>
      <w:hyperlink w:anchor="s2">
        <w:r>
          <w:t>02  本模块的正式文书协议</w:t>
        </w:r>
      </w:hyperlink>
    </w:p>
    <w:p>
      <w:hyperlink w:anchor="s3">
        <w:r>
          <w:t>03  核心疾病的医学知识和完整文书</w:t>
        </w:r>
      </w:hyperlink>
    </w:p>
    <w:p>
      <w:hyperlink w:anchor="s4">
        <w:r>
          <w:t>04  补充病种与交叉调用</w:t>
        </w:r>
      </w:hyperlink>
    </w:p>
    <w:p>
      <w:hyperlink w:anchor="s5">
        <w:r>
          <w:t>05  虚构病例与完整应用示例</w:t>
        </w:r>
      </w:hyperlink>
    </w:p>
    <w:p>
      <w:hyperlink w:anchor="s6">
        <w:r>
          <w:t>06  事实限制 常见错误及质控</w:t>
        </w:r>
      </w:hyperlink>
    </w:p>
    <w:p>
      <w:hyperlink w:anchor="s7">
        <w:r>
          <w:t>07  协同与维护</w:t>
        </w:r>
      </w:hyperlink>
    </w:p>
    <w:p>
      <w:hyperlink w:anchor="s8">
        <w:r>
          <w:t>08  指南版本和适用章节</w:t>
        </w:r>
      </w:hyperlink>
    </w:p>
    <w:p>
      <w:hyperlink w:anchor="s9">
        <w:r>
          <w:t>09  逐条来源核验登记</w:t>
        </w:r>
      </w:hyperlink>
    </w:p>
    <w:p/>
    <w:p>
      <w:bookmarkStart w:id="1" w:name="s1"/>
      <w:pPr>
        <w:pStyle w:val="Heading1"/>
      </w:pPr>
      <w:r>
        <w:t>模块定位 调用条件及必需资料</w:t>
      </w:r>
      <w:bookmarkEnd w:id="1"/>
    </w:p>
    <w:p>
      <w:pPr>
        <w:widowControl/>
      </w:pPr>
      <w:r>
        <w:t>本模块覆盖UC、CD、急性重症结肠炎、狭窄瘘管肛周病、贫血营养及高级治疗监测。自然语言任务涉及这些疾病时由11调用；当前主问题以本模块为主，合并病因仅添加最少协作模块。需要患者双标识与本次住院、记录时点、真实病史实查、检验影像及内镜病理来源、每次操作及病灶标本映射、实际用药和上级意见。缺少关键证据时保持待查，不因模板存在而确诊。</w:t>
      </w:r>
    </w:p>
    <w:p>
      <w:pPr>
        <w:widowControl/>
      </w:pPr>
      <w:r>
        <w:t>以下核心疾病卡逐一覆盖33项内部标准：定义机制、表现病史实查、检验影像内镜病原病理、诊断与依据鉴别、分型分级与风险、非内镜及内镜原则、并发症、首次与日常、三级查房、检查前后和治疗后、病理回报、异常、出院随访、质控及来源。相关病种在各卡适用范围中明确；证据不足的罕见亚型保留进一步专科核实。</w:t>
      </w:r>
    </w:p>
    <w:p>
      <w:bookmarkStart w:id="2" w:name="s2"/>
      <w:pPr>
        <w:pStyle w:val="Heading1"/>
      </w:pPr>
      <w:r>
        <w:t>本模块的正式文书协议</w:t>
      </w:r>
      <w:bookmarkEnd w:id="2"/>
    </w:p>
    <w:p>
      <w:pPr>
        <w:widowControl/>
      </w:pPr>
      <w:r>
        <w:t>所有正式医学文书正文置于独立Markdown text代码框。记录日期、时间、标题和查房医师姓名职称置于框外；框内仅放医学正文，不重复题头，不放AI解释、备注或核对问题。日常病程和主治、副主任、主任医师查房均为连续完整一整段，不分条、不留空行、不人为加空格，仍需保留必要临床内容。入院、首次病程、术前小结、操作记录、抢救和出院文书可保留必要栏目。临床事件时间、标本时间和既往操作日期可以出现在正文，不能误删。禁止“根据昨天的病程记录”“结合前一天的查体情况”“根据用户上传的图片”“AI分析认为”。模板中的【字段】只供构造，正式净稿须替换或安全删除，不能保留占位符、“有/无”双选或默认正常。关键事实冲突在框外提示并阻断受影响净稿。</w:t>
      </w:r>
    </w:p>
    <w:p>
      <w:pPr>
        <w:widowControl/>
      </w:pPr>
      <w:r>
        <w:t>下列含槽位模板供构造，不能把【字段】带入净稿。医师意见、沟通与治疗计划只有真实记录才写。病理结果与每个病灶及事件分别匹配，未知评分不填写。操作前和后模板仅在该病种实际需要并已发生相应阶段时调用，不强迫所有患者做内镜或取材。</w:t>
      </w:r>
    </w:p>
    <w:p>
      <w:bookmarkStart w:id="3" w:name="s3"/>
      <w:pPr>
        <w:pStyle w:val="Heading1"/>
      </w:pPr>
      <w:r>
        <w:t>核心疾病的医学知识和完整文书</w:t>
      </w:r>
      <w:bookmarkEnd w:id="3"/>
    </w:p>
    <w:p>
      <w:pPr>
        <w:pStyle w:val="Heading2"/>
      </w:pPr>
      <w:r>
        <w:t>01 溃疡性结肠炎 活动期与缓解期</w:t>
      </w:r>
    </w:p>
    <w:p>
      <w:pPr>
        <w:pStyle w:val="Heading3"/>
      </w:pPr>
      <w:r>
        <w:t>疾病定义 机制及证据采集</w:t>
      </w:r>
    </w:p>
    <w:p>
      <w:pPr>
        <w:widowControl/>
      </w:pPr>
      <w:r>
        <w:t>01 疾病定义：慢性结肠黏膜炎症性疾病，诊断需临床、内镜病理及鉴别综合，缓解有不同目标层级。</w:t>
      </w:r>
    </w:p>
    <w:p>
      <w:pPr>
        <w:widowControl/>
      </w:pPr>
      <w:r>
        <w:t>02 病因与机制：免疫、遗传、屏障和环境等相关，不由单一病原解释。</w:t>
      </w:r>
    </w:p>
    <w:p>
      <w:pPr>
        <w:widowControl/>
      </w:pPr>
      <w:r>
        <w:t>03 临床表现：便血腹泻、里急后重、腹痛和肠外表现。</w:t>
      </w:r>
    </w:p>
    <w:p>
      <w:pPr>
        <w:widowControl/>
      </w:pPr>
      <w:r>
        <w:t>04 病史采集：病程复发、范围、既往内镜组织、药物依从和反应、感染药物与家族；所有症状保留起始、持续、诱因、进食排便关系和真实治疗反应。</w:t>
      </w:r>
    </w:p>
    <w:p>
      <w:pPr>
        <w:widowControl/>
      </w:pPr>
      <w:r>
        <w:t>05 专科查体：营养、体温循环、腹胀压痛、肠外实查；只写当次实查，不补正常。</w:t>
      </w:r>
    </w:p>
    <w:p>
      <w:pPr>
        <w:widowControl/>
      </w:pPr>
      <w:r>
        <w:t>06 实验室：Hb炎症肝肾电解质、粪钙卫蛋白与感染排查，不能用单值取代活动判断，保存时间、单位、参考和可比性。</w:t>
      </w:r>
    </w:p>
    <w:p>
      <w:pPr>
        <w:widowControl/>
      </w:pPr>
      <w:r>
        <w:t>07 影像：重症或并发症用腹部影像，超声/肠道影像结合所问问题，是否已经实施另行核实。</w:t>
      </w:r>
    </w:p>
    <w:p>
      <w:pPr>
        <w:widowControl/>
      </w:pPr>
      <w:r>
        <w:t>08 消化内镜：记录连续范围、实际到达、黏膜征象和内镜活动度，重症不盲完整镜，保留真实范围和受限原因。</w:t>
      </w:r>
    </w:p>
    <w:p>
      <w:pPr>
        <w:widowControl/>
      </w:pPr>
      <w:r>
        <w:t>09 病原与病理：分段病理、慢性改变与活动，排感染如适用CMV；不能把非特异炎症当UC；取材类型和瓶号与病灶对应。</w:t>
      </w:r>
    </w:p>
    <w:p>
      <w:pPr>
        <w:pStyle w:val="Heading3"/>
      </w:pPr>
      <w:r>
        <w:t>诊断 鉴别 严重度和治疗原则</w:t>
      </w:r>
    </w:p>
    <w:p>
      <w:pPr>
        <w:widowControl/>
      </w:pPr>
      <w:r>
        <w:t>10 诊断标准：临床内镜病理综合并排重要感染/缺血等，未完善时写IBD或UC待查。</w:t>
      </w:r>
    </w:p>
    <w:p>
      <w:pPr>
        <w:widowControl/>
      </w:pPr>
      <w:r>
        <w:t>11 诊断依据：逐项列本例支持、反对和缺失证据；症状、镜下判断、病理与临床综合诊断分层，不超过原报告确定度。</w:t>
      </w:r>
    </w:p>
    <w:p>
      <w:pPr>
        <w:widowControl/>
      </w:pPr>
      <w:r>
        <w:t>12 鉴别诊断：感染性、缺血性、药物性、CD和其他结肠炎，逐一说明区别所需证据，不机械列疾病名。</w:t>
      </w:r>
    </w:p>
    <w:p>
      <w:pPr>
        <w:widowControl/>
      </w:pPr>
      <w:r>
        <w:t>13 疾病分型和严重程度：范围、临床活动、客观炎症及治疗反应，临床缓解不等黏膜愈合。</w:t>
      </w:r>
    </w:p>
    <w:p>
      <w:pPr>
        <w:widowControl/>
      </w:pPr>
      <w:r>
        <w:t>14 相关内镜分级：Mayo总/部分与内镜分项分开，UCEIS需原变量。仅使用适用体系和完整变量，数据时间与版本必须明确，未提供不推分。</w:t>
      </w:r>
    </w:p>
    <w:p>
      <w:pPr>
        <w:widowControl/>
      </w:pPr>
      <w:r>
        <w:t>15 临床风险：重症、贫血营养、血栓感染、癌变和药物毒性。</w:t>
      </w:r>
    </w:p>
    <w:p>
      <w:pPr>
        <w:widowControl/>
      </w:pPr>
      <w:r>
        <w:t>16 非内镜治疗原则：按范围严重度选择诱导及维持，激素不作长期维持，营养安全和感染风险联07。以下为知识和决策范围，患者实际药物、剂量和执行只能取自原记录。</w:t>
      </w:r>
    </w:p>
    <w:p>
      <w:pPr>
        <w:widowControl/>
      </w:pPr>
      <w:r>
        <w:t>17 内镜检查和治疗适应性：诊断、活动度和监测按风险内镜取材，重症选择适用范围和安全时机。拟行、准备和实际完成分开，侵入性方案由有权限团队确认。</w:t>
      </w:r>
    </w:p>
    <w:p>
      <w:pPr>
        <w:widowControl/>
      </w:pPr>
      <w:r>
        <w:t>18 操作风险：活动重症准备和穿孔风险，镇静与出血风险；麻醉、抗栓和替代方案按05及07个体核对。</w:t>
      </w:r>
    </w:p>
    <w:p>
      <w:pPr>
        <w:widowControl/>
      </w:pPr>
      <w:r>
        <w:t>19 并发症：严重出血、毒性巨结肠、穿孔、感染和肠外表现；不能由风险直接写成已发生。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病例特点：【与溃疡性结肠炎 活动期与缓解期相关的病史、实查及带日期证据】。</w:t>
      </w:r>
    </w:p>
    <w:p>
      <w:pPr>
        <w:pStyle w:val="Code"/>
        <w:keepLines w:val="0"/>
        <w:widowControl/>
      </w:pPr>
      <w:r>
        <w:t>初步诊断：【本疾病诊断与确定度，合并及待排问题】。</w:t>
      </w:r>
    </w:p>
    <w:p>
      <w:pPr>
        <w:pStyle w:val="Code"/>
        <w:keepLines w:val="0"/>
        <w:widowControl/>
      </w:pPr>
      <w:r>
        <w:t>诊断依据：【支持本例临床内镜病理综合并排重要感染/缺血等，未完善时写IBD或UC待查的真实资料及缺口】。</w:t>
      </w:r>
    </w:p>
    <w:p>
      <w:pPr>
        <w:pStyle w:val="Code"/>
        <w:keepLines w:val="0"/>
        <w:widowControl/>
      </w:pPr>
      <w:r>
        <w:t>鉴别诊断：【围绕感染性、缺血性、药物性、CD和其他结肠炎的本例支持反对依据与区分计划】。</w:t>
      </w:r>
    </w:p>
    <w:p>
      <w:pPr>
        <w:pStyle w:val="Code"/>
        <w:keepLines w:val="0"/>
        <w:widowControl/>
      </w:pPr>
      <w:r>
        <w:t>诊疗计划：【医师确认的病因及便次血便、客观炎症和治疗执行评估、治疗和风险监测；已执行另列状态】。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便次血便、客观炎症和治疗执行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便次血便、客观炎症和治疗执行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感染性、缺血性、药物性、CD和其他结肠炎、范围、临床活动、客观炎症及治疗反应，临床缓解不等黏膜愈合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客观达标、治疗升级与外科窗口及长期肿瘤监测取舍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记录连续范围、实际到达、黏膜征象和内镜活动度，重症不盲完整镜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活动重症准备和穿孔风险，镇静与出血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分段病理、慢性改变与活动，排感染如适用CMV；不能把非特异炎症当UC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严重出血、毒性巨结肠、穿孔、感染和肠外表现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出院医嘱：【已确认药物、营养活动、复发、药物安全、营养、疫苗与个体结肠癌监测的个体安排及警示症状和追踪责任】。</w:t>
      </w:r>
    </w:p>
    <w:p>
      <w:pPr>
        <w:pStyle w:val="Code"/>
      </w:pPr>
      <w:r>
        <w:t>```</w:t>
      </w:r>
    </w:p>
    <w:p>
      <w:pPr>
        <w:widowControl/>
      </w:pPr>
      <w:r>
        <w:t>31 长期随访：复发、药物安全、营养、疫苗与个体结肠癌监测。每项具体时间由医师结合本例确定，不机械给全部患者同一胃肠镜间隔。</w:t>
      </w:r>
    </w:p>
    <w:p>
      <w:pPr>
        <w:widowControl/>
      </w:pPr>
      <w:r>
        <w:t>32 质量控制：内镜炎症不等UC确诊，评分缺项不算，激素计划与执行分清。此外核身份住院、当前时点、内镜实际状态、标本归属、治疗执行和医师意见；未核关键事实阻断对应净稿。</w:t>
      </w:r>
    </w:p>
    <w:p>
      <w:pPr>
        <w:widowControl/>
      </w:pPr>
      <w:r>
        <w:t>33 参考版本和适用章节：R10 中国UC指南2023西安 2024发表；R11 中国CD指南2023广州 2024发表；R12 IBD营养第三版2025；IBD内镜、小肠CD2024上海共识2025发表见R12补充；本卡适用范围为本病的诊断证据、分型和管理原则。核验日期2026-10-26，可访问层级及限制见文末来源。</w:t>
      </w:r>
    </w:p>
    <w:p>
      <w:pPr>
        <w:pStyle w:val="Heading2"/>
      </w:pPr>
      <w:r>
        <w:t>02 急性重症溃疡性结肠炎</w:t>
      </w:r>
    </w:p>
    <w:p>
      <w:pPr>
        <w:pStyle w:val="Heading3"/>
      </w:pPr>
      <w:r>
        <w:t>疾病定义 机制及证据采集</w:t>
      </w:r>
    </w:p>
    <w:p>
      <w:pPr>
        <w:widowControl/>
      </w:pPr>
      <w:r>
        <w:t>01 疾病定义：符合采用临床标准的重症UC急性发作，需住院严密评估和早期协作。</w:t>
      </w:r>
    </w:p>
    <w:p>
      <w:pPr>
        <w:widowControl/>
      </w:pPr>
      <w:r>
        <w:t>02 病因与机制：重度炎症与屏障损伤，可合并感染和毒性扩张。</w:t>
      </w:r>
    </w:p>
    <w:p>
      <w:pPr>
        <w:widowControl/>
      </w:pPr>
      <w:r>
        <w:t>03 临床表现：频繁血便、发热心动过速、贫血或全身中毒，腹胀警惕扩张。</w:t>
      </w:r>
    </w:p>
    <w:p>
      <w:pPr>
        <w:widowControl/>
      </w:pPr>
      <w:r>
        <w:t>04 病史采集：基线与本次便次血便、既往治疗、激素暴露、感染及发病时点；所有症状保留起始、持续、诱因、进食排便关系和真实治疗反应。</w:t>
      </w:r>
    </w:p>
    <w:p>
      <w:pPr>
        <w:widowControl/>
      </w:pPr>
      <w:r>
        <w:t>05 专科查体：生命体征灌注、腹胀压痛腹膜刺激、意识和营养；只写当次实查，不补正常。</w:t>
      </w:r>
    </w:p>
    <w:p>
      <w:pPr>
        <w:widowControl/>
      </w:pPr>
      <w:r>
        <w:t>06 实验室：HbCRP白蛋白电解质、病原与CMV等按适用情况，连续反应评价，保存时间、单位、参考和可比性。</w:t>
      </w:r>
    </w:p>
    <w:p>
      <w:pPr>
        <w:widowControl/>
      </w:pPr>
      <w:r>
        <w:t>07 影像：腹部影像评扩张穿孔及并发症，禁把无影像作阴性，是否已经实施另行核实。</w:t>
      </w:r>
    </w:p>
    <w:p>
      <w:pPr>
        <w:widowControl/>
      </w:pPr>
      <w:r>
        <w:t>08 消化内镜：按团队选择有限观察取材，不机械全结肠镜或充分准备，保留真实范围和受限原因。</w:t>
      </w:r>
    </w:p>
    <w:p>
      <w:pPr>
        <w:widowControl/>
      </w:pPr>
      <w:r>
        <w:t>09 病原与病理：病理活动及感染取材，不能等所有病原回报才现场评估危重；取材类型和瓶号与病灶对应。</w:t>
      </w:r>
    </w:p>
    <w:p>
      <w:pPr>
        <w:pStyle w:val="Heading3"/>
      </w:pPr>
      <w:r>
        <w:t>诊断 鉴别 严重度和治疗原则</w:t>
      </w:r>
    </w:p>
    <w:p>
      <w:pPr>
        <w:widowControl/>
      </w:pPr>
      <w:r>
        <w:t>10 诊断标准：按明确重症标准核便次和系统指标；不足不强行定重症，但临床急评不延误。</w:t>
      </w:r>
    </w:p>
    <w:p>
      <w:pPr>
        <w:widowControl/>
      </w:pPr>
      <w:r>
        <w:t>11 诊断依据：逐项列本例支持、反对和缺失证据；症状、镜下判断、病理与临床综合诊断分层，不超过原报告确定度。</w:t>
      </w:r>
    </w:p>
    <w:p>
      <w:pPr>
        <w:widowControl/>
      </w:pPr>
      <w:r>
        <w:t>12 鉴别诊断：感染性结肠炎、CD、缺血、药物和巨结肠其他原因，逐一说明区别所需证据，不机械列疾病名。</w:t>
      </w:r>
    </w:p>
    <w:p>
      <w:pPr>
        <w:widowControl/>
      </w:pPr>
      <w:r>
        <w:t>13 疾病分型和严重程度：重症判定与对初始治疗反应分开，救援决策需动态评价。</w:t>
      </w:r>
    </w:p>
    <w:p>
      <w:pPr>
        <w:widowControl/>
      </w:pPr>
      <w:r>
        <w:t>14 相关内镜分级：Mayo等不能替代重症临床标准，实际范围限制必须写明。仅使用适用体系和完整变量，数据时间与版本必须明确，未提供不推分。</w:t>
      </w:r>
    </w:p>
    <w:p>
      <w:pPr>
        <w:widowControl/>
      </w:pPr>
      <w:r>
        <w:t>15 临床风险：穿孔、毒性巨结肠、血栓、营养不良及延误手术。</w:t>
      </w:r>
    </w:p>
    <w:p>
      <w:pPr>
        <w:widowControl/>
      </w:pPr>
      <w:r>
        <w:t>16 非内镜治疗原则：住院支持、适用诱导与感染处理，疗效监测和救援由团队制定。以下为知识和决策范围，患者实际药物、剂量和执行只能取自原记录。</w:t>
      </w:r>
    </w:p>
    <w:p>
      <w:pPr>
        <w:widowControl/>
      </w:pPr>
      <w:r>
        <w:t>17 内镜检查和治疗适应性：有限内镜用于必要证据，危急并发症优先外科评估，不强行复镜。拟行、准备和实际完成分开，侵入性方案由有权限团队确认。</w:t>
      </w:r>
    </w:p>
    <w:p>
      <w:pPr>
        <w:widowControl/>
      </w:pPr>
      <w:r>
        <w:t>18 操作风险：穿孔、准备导致恶化、镇静呼吸循环风险；麻醉、抗栓和替代方案按05及07个体核对。</w:t>
      </w:r>
    </w:p>
    <w:p>
      <w:pPr>
        <w:widowControl/>
      </w:pPr>
      <w:r>
        <w:t>19 并发症：扩张穿孔、严重出血、多器官受累和治疗感染；不能由风险直接写成已发生。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病例特点：【与急性重症溃疡性结肠炎相关的病史、实查及带日期证据】。</w:t>
      </w:r>
    </w:p>
    <w:p>
      <w:pPr>
        <w:pStyle w:val="Code"/>
        <w:keepLines w:val="0"/>
        <w:widowControl/>
      </w:pPr>
      <w:r>
        <w:t>初步诊断：【本疾病诊断与确定度，合并及待排问题】。</w:t>
      </w:r>
    </w:p>
    <w:p>
      <w:pPr>
        <w:pStyle w:val="Code"/>
        <w:keepLines w:val="0"/>
        <w:widowControl/>
      </w:pPr>
      <w:r>
        <w:t>诊断依据：【支持本例按明确重症标准核便次和系统指标；不足不强行定重症，但临床急评不延误的真实资料及缺口】。</w:t>
      </w:r>
    </w:p>
    <w:p>
      <w:pPr>
        <w:pStyle w:val="Code"/>
        <w:keepLines w:val="0"/>
        <w:widowControl/>
      </w:pPr>
      <w:r>
        <w:t>鉴别诊断：【围绕感染性结肠炎、CD、缺血、药物和巨结肠其他原因的本例支持反对依据与区分计划】。</w:t>
      </w:r>
    </w:p>
    <w:p>
      <w:pPr>
        <w:pStyle w:val="Code"/>
        <w:keepLines w:val="0"/>
        <w:widowControl/>
      </w:pPr>
      <w:r>
        <w:t>诊疗计划：【医师确认的病因及便次血便、循环腹征和初始治疗反应评估、治疗和风险监测；已执行另列状态】。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便次血便、循环腹征和初始治疗反应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便次血便、循环腹征和初始治疗反应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感染性结肠炎、CD、缺血、药物和巨结肠其他原因、重症判定与对初始治疗反应分开，救援决策需动态评价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救援与外科治疗时机、拖延风险及多科决策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按团队选择有限观察取材，不机械全结肠镜或充分准备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穿孔、准备导致恶化、镇静呼吸循环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病理活动及感染取材，不能等所有病原回报才现场评估危重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扩张穿孔、严重出血、多器官受累和治疗感染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出院医嘱：【已确认药物、营养活动、出院仅在稳定及明确维持方案后，随访炎症与安全风险的个体安排及警示症状和追踪责任】。</w:t>
      </w:r>
    </w:p>
    <w:p>
      <w:pPr>
        <w:pStyle w:val="Code"/>
      </w:pPr>
      <w:r>
        <w:t>```</w:t>
      </w:r>
    </w:p>
    <w:p>
      <w:pPr>
        <w:widowControl/>
      </w:pPr>
      <w:r>
        <w:t>31 长期随访：出院仅在稳定及明确维持方案后，随访炎症与安全风险。每项具体时间由医师结合本例确定，不机械给全部患者同一胃肠镜间隔。</w:t>
      </w:r>
    </w:p>
    <w:p>
      <w:pPr>
        <w:widowControl/>
      </w:pPr>
      <w:r>
        <w:t>32 质量控制：不把重症标签替代具体指标，不以等待病理延误危急评估。此外核身份住院、当前时点、内镜实际状态、标本归属、治疗执行和医师意见；未核关键事实阻断对应净稿。</w:t>
      </w:r>
    </w:p>
    <w:p>
      <w:pPr>
        <w:widowControl/>
      </w:pPr>
      <w:r>
        <w:t>33 参考版本和适用章节：R10 中国UC指南2023西安 2024发表；R11 中国CD指南2023广州 2024发表；R12 IBD营养第三版2025；IBD内镜、小肠CD2024上海共识2025发表见R12补充；本卡适用范围为本病的诊断证据、分型和管理原则。核验日期2026-10-26，可访问层级及限制见文末来源。</w:t>
      </w:r>
    </w:p>
    <w:p>
      <w:pPr>
        <w:pStyle w:val="Heading2"/>
      </w:pPr>
      <w:r>
        <w:t>03 克罗恩病及小肠 狭窄 瘘管和肛周表型</w:t>
      </w:r>
    </w:p>
    <w:p>
      <w:pPr>
        <w:pStyle w:val="Heading3"/>
      </w:pPr>
      <w:r>
        <w:t>疾病定义 机制及证据采集</w:t>
      </w:r>
    </w:p>
    <w:p>
      <w:pPr>
        <w:widowControl/>
      </w:pPr>
      <w:r>
        <w:t>01 疾病定义：可累及全消化道的慢性透壁炎症，诊断依综合证据；狭窄瘘管及肛周病需各自评估。</w:t>
      </w:r>
    </w:p>
    <w:p>
      <w:pPr>
        <w:widowControl/>
      </w:pPr>
      <w:r>
        <w:t>02 病因与机制：免疫遗传屏障与环境相关，透壁病变可致纤维化和穿透。</w:t>
      </w:r>
    </w:p>
    <w:p>
      <w:pPr>
        <w:widowControl/>
      </w:pPr>
      <w:r>
        <w:t>03 临床表现：腹痛腹泻、体重下降、梗阻、瘘管或肛周症状。</w:t>
      </w:r>
    </w:p>
    <w:p>
      <w:pPr>
        <w:widowControl/>
      </w:pPr>
      <w:r>
        <w:t>04 病史采集：范围病程、手术、吸烟、结核接触、NSAIDs、感染、营养和既往药物；所有症状保留起始、持续、诱因、进食排便关系和真实治疗反应。</w:t>
      </w:r>
    </w:p>
    <w:p>
      <w:pPr>
        <w:widowControl/>
      </w:pPr>
      <w:r>
        <w:t>05 专科查体：营养贫血、腹块压痛腹膜刺激、肛周检查仅实际做；只写当次实查，不补正常。</w:t>
      </w:r>
    </w:p>
    <w:p>
      <w:pPr>
        <w:widowControl/>
      </w:pPr>
      <w:r>
        <w:t>06 实验室：炎症Hb铁营养、粪钙卫蛋白和感染筛查，治疗前安全检查，保存时间、单位、参考和可比性。</w:t>
      </w:r>
    </w:p>
    <w:p>
      <w:pPr>
        <w:widowControl/>
      </w:pPr>
      <w:r>
        <w:t>07 影像：CTE/MRE肠超，肛周MRI等区分炎症狭窄和脓肿瘘管，来源与时点，是否已经实施另行核实。</w:t>
      </w:r>
    </w:p>
    <w:p>
      <w:pPr>
        <w:widowControl/>
      </w:pPr>
      <w:r>
        <w:t>08 消化内镜：回结肠等实际范围、节段病变；疑狭窄不盲胶囊，保留真实范围和受限原因。</w:t>
      </w:r>
    </w:p>
    <w:p>
      <w:pPr>
        <w:widowControl/>
      </w:pPr>
      <w:r>
        <w:t>09 病原与病理：分段病理，肉芽肿非必有也不独立特异，需鉴别结核感染等；取材类型和瓶号与病灶对应。</w:t>
      </w:r>
    </w:p>
    <w:p>
      <w:pPr>
        <w:pStyle w:val="Heading3"/>
      </w:pPr>
      <w:r>
        <w:t>诊断 鉴别 严重度和治疗原则</w:t>
      </w:r>
    </w:p>
    <w:p>
      <w:pPr>
        <w:widowControl/>
      </w:pPr>
      <w:r>
        <w:t>10 诊断标准：临床、内镜、影像、病理及病因排除综合，不仅凭溃疡确诊CD。</w:t>
      </w:r>
    </w:p>
    <w:p>
      <w:pPr>
        <w:widowControl/>
      </w:pPr>
      <w:r>
        <w:t>11 诊断依据：逐项列本例支持、反对和缺失证据；症状、镜下判断、病理与临床综合诊断分层，不超过原报告确定度。</w:t>
      </w:r>
    </w:p>
    <w:p>
      <w:pPr>
        <w:widowControl/>
      </w:pPr>
      <w:r>
        <w:t>12 鉴别诊断：肠结核、感染、白塞、NSAIDs肠病、肿瘤及UC，逐一说明区别所需证据，不机械列疾病名。</w:t>
      </w:r>
    </w:p>
    <w:p>
      <w:pPr>
        <w:widowControl/>
      </w:pPr>
      <w:r>
        <w:t>13 疾病分型和严重程度：范围年龄行为表型及肛周，活动与累积结构损伤分开。</w:t>
      </w:r>
    </w:p>
    <w:p>
      <w:pPr>
        <w:widowControl/>
      </w:pPr>
      <w:r>
        <w:t>14 相关内镜分级：CDAI需7日数据，SES CD需可评分节段，狭窄未达不填0。仅使用适用体系和完整变量，数据时间与版本必须明确，未提供不推分。</w:t>
      </w:r>
    </w:p>
    <w:p>
      <w:pPr>
        <w:widowControl/>
      </w:pPr>
      <w:r>
        <w:t>15 临床风险：脓肿、梗阻穿孔、瘘管营养、术后复发和药物感染。</w:t>
      </w:r>
    </w:p>
    <w:p>
      <w:pPr>
        <w:widowControl/>
      </w:pPr>
      <w:r>
        <w:t>16 非内镜治疗原则：诱导维持、营养及戒烟按个体；脓肿感染控制与免疫治疗先后由团队决定。以下为知识和决策范围，患者实际药物、剂量和执行只能取自原记录。</w:t>
      </w:r>
    </w:p>
    <w:p>
      <w:pPr>
        <w:widowControl/>
      </w:pPr>
      <w:r>
        <w:t>17 内镜检查和治疗适应性：狭窄扩张和内镜监测需评长度、炎症和穿透；外科不是仅失败才评。拟行、准备和实际完成分开，侵入性方案由有权限团队确认。</w:t>
      </w:r>
    </w:p>
    <w:p>
      <w:pPr>
        <w:widowControl/>
      </w:pPr>
      <w:r>
        <w:t>18 操作风险：纤维狭窄扩张穿孔、严重炎症取材风险、胶囊滞留；麻醉、抗栓和替代方案按05及07个体核对。</w:t>
      </w:r>
    </w:p>
    <w:p>
      <w:pPr>
        <w:widowControl/>
      </w:pPr>
      <w:r>
        <w:t>19 并发症：脓肿、瘘管、梗阻、短肠营养与肠外病变；不能由风险直接写成已发生。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病例特点：【与克罗恩病及小肠 狭窄 瘘管和肛周表型相关的病史、实查及带日期证据】。</w:t>
      </w:r>
    </w:p>
    <w:p>
      <w:pPr>
        <w:pStyle w:val="Code"/>
        <w:keepLines w:val="0"/>
        <w:widowControl/>
      </w:pPr>
      <w:r>
        <w:t>初步诊断：【本疾病诊断与确定度，合并及待排问题】。</w:t>
      </w:r>
    </w:p>
    <w:p>
      <w:pPr>
        <w:pStyle w:val="Code"/>
        <w:keepLines w:val="0"/>
        <w:widowControl/>
      </w:pPr>
      <w:r>
        <w:t>诊断依据：【支持本例临床、内镜、影像、病理及病因排除综合，不仅凭溃疡确诊CD的真实资料及缺口】。</w:t>
      </w:r>
    </w:p>
    <w:p>
      <w:pPr>
        <w:pStyle w:val="Code"/>
        <w:keepLines w:val="0"/>
        <w:widowControl/>
      </w:pPr>
      <w:r>
        <w:t>鉴别诊断：【围绕肠结核、感染、白塞、NSAIDs肠病、肿瘤及UC的本例支持反对依据与区分计划】。</w:t>
      </w:r>
    </w:p>
    <w:p>
      <w:pPr>
        <w:pStyle w:val="Code"/>
        <w:keepLines w:val="0"/>
        <w:widowControl/>
      </w:pPr>
      <w:r>
        <w:t>诊疗计划：【医师确认的病因及症状营养、客观炎症与狭窄穿透证据评估、治疗和风险监测；已执行另列状态】。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症状营养、客观炎症与狭窄穿透证据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症状营养、客观炎症与狭窄穿透证据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肠结核、感染、白塞、NSAIDs肠病、肿瘤及UC、范围年龄行为表型及肛周，活动与累积结构损伤分开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药物、内镜扩张和外科介入的取舍及感染安全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回结肠等实际范围、节段病变；疑狭窄不盲胶囊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纤维狭窄扩张穿孔、严重炎症取材风险、胶囊滞留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分段病理，肉芽肿非必有也不独立特异，需鉴别结核感染等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脓肿、瘘管、梗阻、短肠营养与肠外病变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出院医嘱：【已确认药物、营养活动、按病变、术后风险及治疗监测客观达标和复发的个体安排及警示症状和追踪责任】。</w:t>
      </w:r>
    </w:p>
    <w:p>
      <w:pPr>
        <w:pStyle w:val="Code"/>
      </w:pPr>
      <w:r>
        <w:t>```</w:t>
      </w:r>
    </w:p>
    <w:p>
      <w:pPr>
        <w:widowControl/>
      </w:pPr>
      <w:r>
        <w:t>31 长期随访：按病变、术后风险及治疗监测客观达标和复发。每项具体时间由医师结合本例确定，不机械给全部患者同一胃肠镜间隔。</w:t>
      </w:r>
    </w:p>
    <w:p>
      <w:pPr>
        <w:widowControl/>
      </w:pPr>
      <w:r>
        <w:t>32 质量控制：不凭肠镜溃疡确诊，不忽略肠外与肛周脓肿，CDAI不可猜。此外核身份住院、当前时点、内镜实际状态、标本归属、治疗执行和医师意见；未核关键事实阻断对应净稿。</w:t>
      </w:r>
    </w:p>
    <w:p>
      <w:pPr>
        <w:widowControl/>
      </w:pPr>
      <w:r>
        <w:t>33 参考版本和适用章节：R10 中国UC指南2023西安 2024发表；R11 中国CD指南2023广州 2024发表；R12 IBD营养第三版2025；IBD内镜、小肠CD2024上海共识2025发表见R12补充；本卡适用范围为本病的诊断证据、分型和管理原则。核验日期2026-10-26，可访问层级及限制见文末来源。</w:t>
      </w:r>
    </w:p>
    <w:p>
      <w:pPr>
        <w:pStyle w:val="Heading2"/>
      </w:pPr>
      <w:r>
        <w:t>04 IBD高级治疗 失应答 贫血营养及肠外表现</w:t>
      </w:r>
    </w:p>
    <w:p>
      <w:pPr>
        <w:pStyle w:val="Heading3"/>
      </w:pPr>
      <w:r>
        <w:t>疾病定义 机制及证据采集</w:t>
      </w:r>
    </w:p>
    <w:p>
      <w:pPr>
        <w:widowControl/>
      </w:pPr>
      <w:r>
        <w:t>01 疾病定义：IBD管理问题需区分疾病活动、结构损伤、药物毒性和非炎症症状。</w:t>
      </w:r>
    </w:p>
    <w:p>
      <w:pPr>
        <w:widowControl/>
      </w:pPr>
      <w:r>
        <w:t>02 病因与机制：持续炎症、耐药或药代问题、免疫反应、感染及营养失衡等。</w:t>
      </w:r>
    </w:p>
    <w:p>
      <w:pPr>
        <w:widowControl/>
      </w:pPr>
      <w:r>
        <w:t>03 临床表现：复发血便腹痛、疲乏贫血、关节皮眼或肝胆异常。</w:t>
      </w:r>
    </w:p>
    <w:p>
      <w:pPr>
        <w:widowControl/>
      </w:pPr>
      <w:r>
        <w:t>04 病史采集：药物历程剂量实际给药、初次应答、依从、感染筛查疫苗、月经与失血；所有症状保留起始、持续、诱因、进食排便关系和真实治疗反应。</w:t>
      </w:r>
    </w:p>
    <w:p>
      <w:pPr>
        <w:widowControl/>
      </w:pPr>
      <w:r>
        <w:t>05 专科查体：营养、感染、肠外相关实查，不能默认药物不良反应；只写当次实查，不补正常。</w:t>
      </w:r>
    </w:p>
    <w:p>
      <w:pPr>
        <w:widowControl/>
      </w:pPr>
      <w:r>
        <w:t>06 实验室：血常规铁代谢、炎症肝肾，适用药前筛查；药物浓度抗体仅实测，保存时间、单位、参考和可比性。</w:t>
      </w:r>
    </w:p>
    <w:p>
      <w:pPr>
        <w:widowControl/>
      </w:pPr>
      <w:r>
        <w:t>07 影像：排脓肿狭窄或肝胆并发病等，按症状选择，是否已经实施另行核实。</w:t>
      </w:r>
    </w:p>
    <w:p>
      <w:pPr>
        <w:widowControl/>
      </w:pPr>
      <w:r>
        <w:t>08 消化内镜：评价炎症和治疗靶点，内镜缓解不由症状推，保留真实范围和受限原因。</w:t>
      </w:r>
    </w:p>
    <w:p>
      <w:pPr>
        <w:widowControl/>
      </w:pPr>
      <w:r>
        <w:t>09 病原与病理：感染、CMV或异型增生等依取材；病理与药物反应不替代彼此；取材类型和瓶号与病灶对应。</w:t>
      </w:r>
    </w:p>
    <w:p>
      <w:pPr>
        <w:pStyle w:val="Heading3"/>
      </w:pPr>
      <w:r>
        <w:t>诊断 鉴别 严重度和治疗原则</w:t>
      </w:r>
    </w:p>
    <w:p>
      <w:pPr>
        <w:widowControl/>
      </w:pPr>
      <w:r>
        <w:t>10 诊断标准：先确认客观活动和执行，区分原发无应答、继发失应答、不耐受及功能病。</w:t>
      </w:r>
    </w:p>
    <w:p>
      <w:pPr>
        <w:widowControl/>
      </w:pPr>
      <w:r>
        <w:t>11 诊断依据：逐项列本例支持、反对和缺失证据；症状、镜下判断、病理与临床综合诊断分层，不超过原报告确定度。</w:t>
      </w:r>
    </w:p>
    <w:p>
      <w:pPr>
        <w:widowControl/>
      </w:pPr>
      <w:r>
        <w:t>12 鉴别诊断：感染、脓肿、胆汁酸/功能性腹泻、药物毒性与结构梗阻，逐一说明区别所需证据，不机械列疾病名。</w:t>
      </w:r>
    </w:p>
    <w:p>
      <w:pPr>
        <w:widowControl/>
      </w:pPr>
      <w:r>
        <w:t>13 疾病分型和严重程度：疗效与毒性、营养风险与贫血病因分别分层。</w:t>
      </w:r>
    </w:p>
    <w:p>
      <w:pPr>
        <w:widowControl/>
      </w:pPr>
      <w:r>
        <w:t>14 相关内镜分级：依UC/CD对应评分，不创造统一IBD总分。仅使用适用体系和完整变量，数据时间与版本必须明确，未提供不推分。</w:t>
      </w:r>
    </w:p>
    <w:p>
      <w:pPr>
        <w:widowControl/>
      </w:pPr>
      <w:r>
        <w:t>15 临床风险：结核HBV再激活、严重感染、血栓和药物特异风险。</w:t>
      </w:r>
    </w:p>
    <w:p>
      <w:pPr>
        <w:widowControl/>
      </w:pPr>
      <w:r>
        <w:t>16 非内镜治疗原则：诱导维持及升级换药由团队按获批范围选择，纠正贫血和营养病因。以下为知识和决策范围，患者实际药物、剂量和执行只能取自原记录。</w:t>
      </w:r>
    </w:p>
    <w:p>
      <w:pPr>
        <w:widowControl/>
      </w:pPr>
      <w:r>
        <w:t>17 内镜检查和治疗适应性：需客观评价或取材时按风险内镜，肠外病变按相应科室协作。拟行、准备和实际完成分开，侵入性方案由有权限团队确认。</w:t>
      </w:r>
    </w:p>
    <w:p>
      <w:pPr>
        <w:widowControl/>
      </w:pPr>
      <w:r>
        <w:t>18 操作风险：免疫抑制感染、出血及耐受风险；麻醉、抗栓和替代方案按05及07个体核对。</w:t>
      </w:r>
    </w:p>
    <w:p>
      <w:pPr>
        <w:widowControl/>
      </w:pPr>
      <w:r>
        <w:t>19 并发症：严重感染、骨髓肝毒性、血栓及营养代谢问题；不能由风险直接写成已发生。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病例特点：【与IBD高级治疗 失应答 贫血营养及肠外表现相关的病史、实查及带日期证据】。</w:t>
      </w:r>
    </w:p>
    <w:p>
      <w:pPr>
        <w:pStyle w:val="Code"/>
        <w:keepLines w:val="0"/>
        <w:widowControl/>
      </w:pPr>
      <w:r>
        <w:t>初步诊断：【本疾病诊断与确定度，合并及待排问题】。</w:t>
      </w:r>
    </w:p>
    <w:p>
      <w:pPr>
        <w:pStyle w:val="Code"/>
        <w:keepLines w:val="0"/>
        <w:widowControl/>
      </w:pPr>
      <w:r>
        <w:t>诊断依据：【支持本例先确认客观活动和执行，区分原发无应答、继发失应答、不耐受及功能病的真实资料及缺口】。</w:t>
      </w:r>
    </w:p>
    <w:p>
      <w:pPr>
        <w:pStyle w:val="Code"/>
        <w:keepLines w:val="0"/>
        <w:widowControl/>
      </w:pPr>
      <w:r>
        <w:t>鉴别诊断：【围绕感染、脓肿、胆汁酸/功能性腹泻、药物毒性与结构梗阻的本例支持反对依据与区分计划】。</w:t>
      </w:r>
    </w:p>
    <w:p>
      <w:pPr>
        <w:pStyle w:val="Code"/>
        <w:keepLines w:val="0"/>
        <w:widowControl/>
      </w:pPr>
      <w:r>
        <w:t>诊疗计划：【医师确认的病因及真实给药、客观反应和安全指标评估、治疗和风险监测；已执行另列状态】。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真实给药、客观反应和安全指标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真实给药、客观反应和安全指标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感染、脓肿、胆汁酸/功能性腹泻、药物毒性与结构梗阻、疗效与毒性、营养风险与贫血病因分别分层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升级或换机制与控制感染、外科及营养策略的平衡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评价炎症和治疗靶点，内镜缓解不由症状推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免疫抑制感染、出血及耐受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感染、CMV或异型增生等依取材；病理与药物反应不替代彼此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严重感染、骨髓肝毒性、血栓及营养代谢问题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出院医嘱：【已确认药物、营养活动、定期客观炎症和药物安全、营养贫血、疫苗与癌症监测的个体安排及警示症状和追踪责任】。</w:t>
      </w:r>
    </w:p>
    <w:p>
      <w:pPr>
        <w:pStyle w:val="Code"/>
      </w:pPr>
      <w:r>
        <w:t>```</w:t>
      </w:r>
    </w:p>
    <w:p>
      <w:pPr>
        <w:widowControl/>
      </w:pPr>
      <w:r>
        <w:t>31 长期随访：定期客观炎症和药物安全、营养贫血、疫苗与癌症监测。每项具体时间由医师结合本例确定，不机械给全部患者同一胃肠镜间隔。</w:t>
      </w:r>
    </w:p>
    <w:p>
      <w:pPr>
        <w:widowControl/>
      </w:pPr>
      <w:r>
        <w:t>32 质量控制：无感染筛查不写已筛阴性；浓度抗体未测不猜，计划加药不等已给。此外核身份住院、当前时点、内镜实际状态、标本归属、治疗执行和医师意见；未核关键事实阻断对应净稿。</w:t>
      </w:r>
    </w:p>
    <w:p>
      <w:pPr>
        <w:widowControl/>
      </w:pPr>
      <w:r>
        <w:t>33 参考版本和适用章节：R10 中国UC指南2023西安 2024发表；R11 中国CD指南2023广州 2024发表；R12 IBD营养第三版2025；IBD内镜、小肠CD2024上海共识2025发表见R12补充；本卡适用范围为本病的诊断证据、分型和管理原则。核验日期2026-10-26，可访问层级及限制见文末来源。</w:t>
      </w:r>
    </w:p>
    <w:p>
      <w:bookmarkStart w:id="4" w:name="s4"/>
      <w:pPr>
        <w:pStyle w:val="Heading1"/>
      </w:pPr>
      <w:r>
        <w:t>补充病种与交叉调用</w:t>
      </w:r>
      <w:bookmarkEnd w:id="4"/>
    </w:p>
    <w:p>
      <w:pPr>
        <w:widowControl/>
      </w:pPr>
      <w:r>
        <w:t>UC、CD伴贫血分别评失血、缺铁、慢性炎症和药物骨髓影响，不能自动都为缺铁性贫血。营养不良结合摄入体重肌量及炎症，低白蛋白不独立确诊。肠外关节、皮肤、眼和肝胆表现按真实证据并与相应科室协作，不把所有新症状归IBD。小肠CD内镜和营养第三版有2025发表更新，具体推荐与剂量需核原文。</w:t>
      </w:r>
    </w:p>
    <w:p>
      <w:bookmarkStart w:id="5" w:name="s5"/>
      <w:pPr>
        <w:pStyle w:val="Heading1"/>
      </w:pPr>
      <w:r>
        <w:t>虚构病例与完整应用示例</w:t>
      </w:r>
      <w:bookmarkEnd w:id="5"/>
    </w:p>
    <w:p>
      <w:pPr>
        <w:widowControl/>
      </w:pPr>
      <w:r>
        <w:t>虚构SIM-104/E01：既往确诊CD，本次腹痛腹泻，MRE提示末端回肠狭窄并邻近液性区考虑脓肿，医师真实意见先明确感染再评升级治疗；未实施生物制剂加量。</w:t>
      </w:r>
    </w:p>
    <w:p>
      <w:pPr>
        <w:widowControl/>
      </w:pPr>
      <w:r>
        <w:t>2026年10月26日 10:00 赵甲主任医师查房记录</w:t>
      </w:r>
    </w:p>
    <w:p>
      <w:pPr>
        <w:pStyle w:val="Code"/>
      </w:pPr>
      <w:r>
        <w:t>```text</w:t>
      </w:r>
    </w:p>
    <w:p>
      <w:pPr>
        <w:pStyle w:val="Code"/>
        <w:keepLines w:val="0"/>
        <w:widowControl/>
      </w:pPr>
      <w:r>
        <w:t>今日随赵甲主任医师查房，患者腹痛、腹泻，MRE提示末端回肠狭窄，邻近液性区考虑脓肿。主任医师分析当前症状需同时评估炎症活动、结构性狭窄和感染，影像可疑脓肿尚需进一步明确，不宜将症状简单归为药物失应答并直接写已升级生物制剂。后续先按已确认计划完善感染及病变评估，再讨论药物、引流和外科协作方案。</w:t>
      </w:r>
    </w:p>
    <w:p>
      <w:pPr>
        <w:pStyle w:val="Code"/>
      </w:pPr>
      <w:r>
        <w:t>```</w:t>
      </w:r>
    </w:p>
    <w:p>
      <w:bookmarkStart w:id="6" w:name="s6"/>
      <w:pPr>
        <w:pStyle w:val="Heading1"/>
      </w:pPr>
      <w:r>
        <w:t>事实限制 常见错误及质控</w:t>
      </w:r>
      <w:bookmarkEnd w:id="6"/>
    </w:p>
    <w:p>
      <w:pPr>
        <w:widowControl/>
      </w:pPr>
      <w:r>
        <w:t>患者真实资料高于通用模板和医学知识。每条事实绑定patient_id、encounter_id、来源、event_time和available_time；未提供、未做、阴性、阳性和冲突分开。不得编造当日查体、生命体征、检查数值、内镜到达部位、病灶数量大小、活检、器械、夹数、麻醉、治疗执行、病理、分期、会诊、知情沟通或医师意见。历史资料明确日期；当日症状与查体不从昨日自动继承。正式意见由实际责任医师审核签署。</w:t>
      </w:r>
    </w:p>
    <w:p>
      <w:pPr>
        <w:widowControl/>
      </w:pPr>
      <w:r>
        <w:t>感染排除、范围活动、结构并发症、真实药物执行和营养分别评价；上级决策不能代写未发生升级。</w:t>
      </w:r>
    </w:p>
    <w:p>
      <w:pPr>
        <w:widowControl/>
      </w:pPr>
      <w:r>
        <w:t>不得将模板建议改写成已执行处置。症状减轻不等于黏膜愈合，技术完成不等于病理治愈，未记录并发症不等于已经排除。</w:t>
      </w:r>
    </w:p>
    <w:p>
      <w:bookmarkStart w:id="7" w:name="s7"/>
      <w:pPr>
        <w:pStyle w:val="Heading1"/>
      </w:pPr>
      <w:r>
        <w:t>协同与维护</w:t>
      </w:r>
      <w:bookmarkEnd w:id="7"/>
    </w:p>
    <w:p>
      <w:pPr>
        <w:widowControl/>
      </w:pPr>
      <w:r>
        <w:t>00为唯一入口，01最高规则，11管理身份和事件，02—09提供任务功能，101—108补充对应疾病知识，10输出前终审。只读取本任务所需模块，冲突按01处理，不重复拼接正文。季度复核指南版本，新增指南、药物说明书或院内流程变化时由消化、内镜、麻醉、病理与病案质控人员按职责修订；保留修订人、日期、原因、受影响条款和回归用例。</w:t>
      </w:r>
    </w:p>
    <w:p>
      <w:bookmarkStart w:id="8" w:name="s8"/>
      <w:pPr>
        <w:pStyle w:val="Heading1"/>
      </w:pPr>
      <w:r>
        <w:t>指南版本和适用章节</w:t>
      </w:r>
      <w:bookmarkEnd w:id="8"/>
    </w:p>
    <w:p>
      <w:pPr>
        <w:widowControl/>
      </w:pPr>
      <w:r>
        <w:t>核验基准日2026-10-26。来源编号及准确名称、发布机构、年份、可访问层级与链接见本章记录。书目或摘要不能代替全文推荐；未核原文的精确阈值、剂量、证据等级和固定复查间隔不成为自动生成规则。国际文献仅补充适用的定义和方法，须结合中国规范及院内授权。</w:t>
      </w:r>
    </w:p>
    <w:p>
      <w:pPr>
        <w:widowControl/>
      </w:pPr>
      <w:r>
        <w:t>R10 中国UC指南2023西安 2024发表；R11 中国CD指南2023广州 2024发表；R12 IBD营养第三版2025；IBD内镜、小肠CD2024上海共识2025发表见R12补充</w:t>
      </w:r>
    </w:p>
    <w:p>
      <w:bookmarkStart w:id="9" w:name="s9"/>
      <w:pPr>
        <w:pStyle w:val="Heading1"/>
      </w:pPr>
      <w:r>
        <w:t>逐条来源核验登记</w:t>
      </w:r>
      <w:bookmarkEnd w:id="9"/>
    </w:p>
    <w:p>
      <w:pPr>
        <w:pStyle w:val="Heading2"/>
      </w:pPr>
      <w:r>
        <w:t>R10 中国溃疡性结肠炎诊治指南 2023年 西安</w:t>
      </w:r>
    </w:p>
    <w:p>
      <w:pPr>
        <w:widowControl/>
      </w:pPr>
      <w:r>
        <w:t>发布机构：中华医学会消化病学分会炎症性肠病学组等 原刊署名为准。版本年份：2023版 2024发表。核验日期：2026-10-26。</w:t>
      </w:r>
    </w:p>
    <w:p>
      <w:pPr>
        <w:widowControl/>
      </w:pPr>
      <w:r>
        <w:t>实际核验层级：原刊指南专题题录和摘要；未获得全篇授权正文。</w:t>
      </w:r>
    </w:p>
    <w:p>
      <w:pPr>
        <w:widowControl/>
      </w:pPr>
      <w:r>
        <w:t>适用章节：104诊断证据 范围活动与治疗目标。</w:t>
      </w:r>
    </w:p>
    <w:p>
      <w:pPr>
        <w:widowControl/>
      </w:pPr>
      <w:r>
        <w:t>来源：https://zhyxcbzz.yiigle.com/topic/113.jspx</w:t>
      </w:r>
    </w:p>
    <w:p>
      <w:pPr>
        <w:widowControl/>
      </w:pPr>
      <w:r>
        <w:t>DOI：10.3760/cma.j.cn101480-20240123-00017</w:t>
      </w:r>
    </w:p>
    <w:p>
      <w:pPr>
        <w:pStyle w:val="Heading2"/>
      </w:pPr>
      <w:r>
        <w:t>R11 中国克罗恩病诊治指南 2023年 广州</w:t>
      </w:r>
    </w:p>
    <w:p>
      <w:pPr>
        <w:widowControl/>
      </w:pPr>
      <w:r>
        <w:t>发布机构：中华医学会消化病学分会炎症性肠病学组等 原刊署名为准。版本年份：2023版 2024发表。核验日期：2026-10-26。</w:t>
      </w:r>
    </w:p>
    <w:p>
      <w:pPr>
        <w:widowControl/>
      </w:pPr>
      <w:r>
        <w:t>实际核验层级：原刊指南专题题录和摘要；精确推荐待全文核对。</w:t>
      </w:r>
    </w:p>
    <w:p>
      <w:pPr>
        <w:widowControl/>
      </w:pPr>
      <w:r>
        <w:t>适用章节：104综合诊断 结构并发症与长期目标。</w:t>
      </w:r>
    </w:p>
    <w:p>
      <w:pPr>
        <w:widowControl/>
      </w:pPr>
      <w:r>
        <w:t>来源：https://zhyxcbzz.yiigle.com/topic/113.jspx</w:t>
      </w:r>
    </w:p>
    <w:p>
      <w:pPr>
        <w:widowControl/>
      </w:pPr>
      <w:r>
        <w:t>DOI：10.3760/cma.j.cn101480-20240108-00006</w:t>
      </w:r>
    </w:p>
    <w:p>
      <w:pPr>
        <w:pStyle w:val="Heading2"/>
      </w:pPr>
      <w:r>
        <w:t>R12 炎症性肠病营养治疗专家共识 第三版 及小肠克罗恩病的内镜诊治共识 2024 上海</w:t>
      </w:r>
    </w:p>
    <w:p>
      <w:pPr>
        <w:widowControl/>
      </w:pPr>
      <w:r>
        <w:t>发布机构：中华炎性肠病杂志原始共识作者组；完整组织署名需原文补核。版本年份：均2025发表。核验日期：2026-10-26。</w:t>
      </w:r>
    </w:p>
    <w:p>
      <w:pPr>
        <w:widowControl/>
      </w:pPr>
      <w:r>
        <w:t>实际核验层级：原刊目录确认题名 年份 DOI，完整作者组与细则待原文核；不冒称营养剂量已核。</w:t>
      </w:r>
    </w:p>
    <w:p>
      <w:pPr>
        <w:widowControl/>
      </w:pPr>
      <w:r>
        <w:t>适用章节：104及07 09营养和小肠内镜决策资料需求。</w:t>
      </w:r>
    </w:p>
    <w:p>
      <w:pPr>
        <w:widowControl/>
      </w:pPr>
      <w:r>
        <w:t>来源：https://zhyxcbzz.yiigle.com/topic/113.jspx</w:t>
      </w:r>
    </w:p>
    <w:p>
      <w:pPr>
        <w:widowControl/>
      </w:pPr>
      <w:r>
        <w:t>DOI：营养10.3760/cma.j.cn101480-20241230-00148；小肠10.3760/cma.j.cn101480-20250103-00004</w:t>
      </w:r>
    </w:p>
    <w:p>
      <w:pPr>
        <w:pStyle w:val="Heading2"/>
      </w:pPr>
      <w:r>
        <w:t>R34 SHEA IDSA Clinical Practice Guideline for Clostridioides difficile infection</w:t>
      </w:r>
    </w:p>
    <w:p>
      <w:pPr>
        <w:widowControl/>
      </w:pPr>
      <w:r>
        <w:t>发布机构：SHEA IDSA。版本年份：2017版 2018发表；2021聚焦更新。核验日期：2026-10-26。</w:t>
      </w:r>
    </w:p>
    <w:p>
      <w:pPr>
        <w:widowControl/>
      </w:pPr>
      <w:r>
        <w:t>实际核验层级：学会原始诊断指南及2021治疗聚焦更新页可访问，2021未替换所有诊断章节。</w:t>
      </w:r>
    </w:p>
    <w:p>
      <w:pPr>
        <w:widowControl/>
      </w:pPr>
      <w:r>
        <w:t>适用章节：103艰难梭菌感染与定植、检测算法和治疗状态。</w:t>
      </w:r>
    </w:p>
    <w:p>
      <w:pPr>
        <w:widowControl/>
      </w:pPr>
      <w:r>
        <w:t>来源：https://www.idsociety.org/practice-guideline/clostridium-difficile/</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104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iragino Sans GB" w:hAnsi="Hiragino Sans GB" w:eastAsia="Hiragino Sans GB" w:cs="Hiragino Sans GB"/>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Hiragino Sans GB" w:hAnsi="Hiragino Sans GB" w:eastAsia="Hiragino Sans GB" w:cs="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Hiragino Sans GB" w:hAnsi="Hiragino Sans GB" w:eastAsia="Hiragino Sans GB" w:cs="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Hiragino Sans GB" w:hAnsi="Hiragino Sans GB" w:eastAsia="Hiragino Sans GB" w:cs="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Hiragino Sans GB" w:hAnsi="Hiragino Sans GB" w:eastAsia="Hiragino Sans GB" w:cs="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iragino Sans GB" w:hAnsi="Hiragino Sans GB" w:eastAsia="Hiragino Sans GB" w:cs="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iragino Sans GB" w:hAnsi="Hiragino Sans GB" w:eastAsia="Hiragino Sans GB" w:cs="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iragino Sans GB" w:hAnsi="Hiragino Sans GB" w:eastAsia="Hiragino Sans GB" w:cs="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iragino Sans GB" w:hAnsi="Hiragino Sans GB" w:eastAsia="Hiragino Sans GB" w:cs="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iragino Sans GB" w:hAnsi="Hiragino Sans GB" w:eastAsia="Hiragino Sans GB" w:cs="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iragino Sans GB" w:hAnsi="Hiragino Sans GB" w:eastAsia="Hiragino Sans GB" w:cs="Hiragino Sans GB"/>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Hiragino Sans GB" w:hAnsi="Hiragino Sans GB" w:eastAsia="Hiragino Sans GB" w:cs="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Hiragino Sans GB" w:hAnsi="Hiragino Sans GB" w:eastAsia="Hiragino Sans GB" w:cs="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Hiragino Sans GB" w:hAnsi="Hiragino Sans GB" w:eastAsia="Hiragino Sans GB" w:cs="Hiragino Sans GB"/>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Hiragino Sans GB" w:hAnsi="Hiragino Sans GB" w:eastAsia="Hiragino Sans GB" w:cs="Hiragino Sans GB"/>
      <w:color w:val="000000"/>
      <w:spacing w:val="5"/>
      <w:kern w:val="28"/>
      <w:sz w:val="44"/>
      <w:szCs w:val="52"/>
    </w:rPr>
  </w:style>
  <w:style w:type="character" w:customStyle="1" w:styleId="TitleChar">
    <w:name w:val="Title Char"/>
    <w:basedOn w:val="DefaultParagraphFont"/>
    <w:link w:val="Title"/>
    <w:uiPriority w:val="10"/>
    <w:rsid w:val="00FC693F"/>
    <w:rPr>
      <w:rFonts w:ascii="Hiragino Sans GB" w:hAnsi="Hiragino Sans GB" w:eastAsia="Hiragino Sans GB" w:cs="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Hiragino Sans GB" w:hAnsi="Hiragino Sans GB" w:eastAsia="Hiragino Sans GB" w:cs="Hiragino Sans GB"/>
      <w:i w:val="0"/>
      <w:iCs/>
      <w:color w:val="000000"/>
      <w:spacing w:val="15"/>
      <w:sz w:val="22"/>
      <w:szCs w:val="24"/>
    </w:rPr>
  </w:style>
  <w:style w:type="character" w:customStyle="1" w:styleId="SubtitleChar">
    <w:name w:val="Subtitle Char"/>
    <w:basedOn w:val="DefaultParagraphFont"/>
    <w:link w:val="Subtitle"/>
    <w:uiPriority w:val="11"/>
    <w:rsid w:val="00FC693F"/>
    <w:rPr>
      <w:rFonts w:ascii="Hiragino Sans GB" w:hAnsi="Hiragino Sans GB" w:eastAsia="Hiragino Sans GB" w:cs="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Hiragino Sans GB" w:hAnsi="Hiragino Sans GB" w:eastAsia="Hiragino Sans GB" w:cs="Hiragino Sans GB"/>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GB" w:hAnsi="Hiragino Sans GB" w:eastAsia="Hiragino Sans GB" w:cs="Hiragino Sans GB"/>
      <w:sz w:val="20"/>
      <w:szCs w:val="20"/>
    </w:rPr>
  </w:style>
  <w:style w:type="character" w:customStyle="1" w:styleId="MacroTextChar">
    <w:name w:val="Macro Text Char"/>
    <w:basedOn w:val="DefaultParagraphFont"/>
    <w:link w:val="MacroText"/>
    <w:uiPriority w:val="99"/>
    <w:rsid w:val="0029639D"/>
    <w:rPr>
      <w:rFonts w:ascii="Hiragino Sans GB" w:hAnsi="Hiragino Sans GB" w:eastAsia="Hiragino Sans GB" w:cs="Hiragino Sans GB"/>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Hiragino Sans GB" w:hAnsi="Hiragino Sans GB" w:eastAsia="Hiragino Sans GB" w:cs="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Hiragino Sans GB" w:hAnsi="Hiragino Sans GB" w:eastAsia="Hiragino Sans GB" w:cs="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Hiragino Sans GB" w:hAnsi="Hiragino Sans GB" w:eastAsia="Hiragino Sans GB" w:cs="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Hiragino Sans GB" w:hAnsi="Hiragino Sans GB" w:eastAsia="Hiragino Sans GB" w:cs="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Hiragino Sans GB" w:hAnsi="Hiragino Sans GB" w:eastAsia="Hiragino Sans GB" w:cs="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Hiragino Sans GB" w:hAnsi="Hiragino Sans GB" w:eastAsia="Hiragino Sans GB" w:cs="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81" w:lineRule="auto" w:after="40"/>
    </w:pPr>
    <w:rPr>
      <w:rFonts w:ascii="Hiragino Sans GB" w:hAnsi="Hiragino Sans GB" w:eastAsia="Hiragino Sans GB" w:cs="Hiragino Sans G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104 炎症性肠病及慢性肠道炎症专病模板库</dc:title>
  <dc:subject>消化内科含胃肠镜AI病历书写系统V1.0</dc:subject>
  <dc:creator>病历模板库</dc:creator>
  <cp:keywords>消化内科 胃肠镜 医学文书 真实性 质控</cp:keywords>
  <dc:description>generated by python-docx</dc:description>
  <cp:lastModifiedBy/>
  <cp:revision>1</cp:revision>
  <dcterms:created xsi:type="dcterms:W3CDTF">2013-12-23T23:15:00Z</dcterms:created>
  <dcterms:modified xsi:type="dcterms:W3CDTF">2013-12-23T23:15:00Z</dcterms:modified>
  <cp:category/>
</cp:coreProperties>
</file>