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108 消化道息肉癌前病变早期肿瘤及内镜切除专病模板库</w:t>
      </w:r>
    </w:p>
    <w:p>
      <w:pPr>
        <w:pStyle w:val="Subtitle"/>
      </w:pPr>
      <w:r>
        <w:t>消化内科含胃肠镜AI病历书写系统 V1.0</w:t>
      </w:r>
    </w:p>
    <w:p>
      <w:r>
        <w:t>模块编号 108　版本 V1.0　所属层级 第三级 消化内科专病层</w:t>
      </w:r>
    </w:p>
    <w:p>
      <w:r>
        <w:t>建设及资料核验日期 2026年10月26日</w:t>
      </w:r>
    </w:p>
    <w:p>
      <w:r>
        <w:t>功能定位 息肉 早癌 EMR ESD及切除后病理评价</w:t>
      </w:r>
    </w:p>
    <w:p>
      <w:r>
        <w:t>适用范围 中国医院消化内科病房 消化内镜中心及相关协作诊疗的医师文书辅助</w:t>
      </w:r>
    </w:p>
    <w:p>
      <w:r>
        <w:t>本文件提供拟稿、证据整理和质控规则。临床诊疗、内镜操作、麻醉、处方、知情同意及签名由具备权限的医务人员实施。</w:t>
      </w:r>
    </w:p>
    <w:p>
      <w:r>
        <w:br w:type="page"/>
      </w:r>
    </w:p>
    <w:p>
      <w:pPr>
        <w:pStyle w:val="Heading1"/>
      </w:pPr>
      <w:r>
        <w:t>目录</w:t>
      </w:r>
    </w:p>
    <w:p>
      <w:hyperlink w:anchor="s1">
        <w:r>
          <w:t>01  模块定位 调用条件及必需资料</w:t>
        </w:r>
      </w:hyperlink>
    </w:p>
    <w:p>
      <w:hyperlink w:anchor="s2">
        <w:r>
          <w:t>02  本模块的正式文书协议</w:t>
        </w:r>
      </w:hyperlink>
    </w:p>
    <w:p>
      <w:hyperlink w:anchor="s3">
        <w:r>
          <w:t>03  核心疾病的医学知识和完整文书</w:t>
        </w:r>
      </w:hyperlink>
    </w:p>
    <w:p>
      <w:hyperlink w:anchor="s4">
        <w:r>
          <w:t>04  补充病种与交叉调用</w:t>
        </w:r>
      </w:hyperlink>
    </w:p>
    <w:p>
      <w:hyperlink w:anchor="s5">
        <w:r>
          <w:t>05  虚构病例与完整应用示例</w:t>
        </w:r>
      </w:hyperlink>
    </w:p>
    <w:p>
      <w:hyperlink w:anchor="s6">
        <w:r>
          <w:t>06  事实限制 常见错误及质控</w:t>
        </w:r>
      </w:hyperlink>
    </w:p>
    <w:p>
      <w:hyperlink w:anchor="s7">
        <w:r>
          <w:t>07  协同与维护</w:t>
        </w:r>
      </w:hyperlink>
    </w:p>
    <w:p>
      <w:hyperlink w:anchor="s8">
        <w:r>
          <w:t>08  指南版本和适用章节</w:t>
        </w:r>
      </w:hyperlink>
    </w:p>
    <w:p>
      <w:hyperlink w:anchor="s9">
        <w:r>
          <w:t>09  逐条来源核验登记</w:t>
        </w:r>
      </w:hyperlink>
    </w:p>
    <w:p/>
    <w:p>
      <w:bookmarkStart w:id="1" w:name="s1"/>
      <w:pPr>
        <w:pStyle w:val="Heading1"/>
      </w:pPr>
      <w:r>
        <w:t>模块定位 调用条件及必需资料</w:t>
      </w:r>
      <w:bookmarkEnd w:id="1"/>
    </w:p>
    <w:p>
      <w:pPr>
        <w:widowControl/>
      </w:pPr>
      <w:r>
        <w:t>本模块覆盖胃结直肠及多发息肉、腺瘤锯齿病变、癌前和早期肿瘤、上皮下病变及内镜切除病理。自然语言任务涉及这些疾病时由11调用；当前主问题以本模块为主，合并病因仅添加最少协作模块。需要患者双标识与本次住院、记录时点、真实病史实查、检验影像及内镜病理来源、每次操作及病灶标本映射、实际用药和上级意见。缺少关键证据时保持待查，不因模板存在而确诊。</w:t>
      </w:r>
    </w:p>
    <w:p>
      <w:pPr>
        <w:widowControl/>
      </w:pPr>
      <w:r>
        <w:t>以下核心疾病卡逐一覆盖33项内部标准：定义机制、表现病史实查、检验影像内镜病原病理、诊断与依据鉴别、分型分级与风险、非内镜及内镜原则、并发症、首次与日常、三级查房、检查前后和治疗后、病理回报、异常、出院随访、质控及来源。相关病种在各卡适用范围中明确；证据不足的罕见亚型保留进一步专科核实。</w:t>
      </w:r>
    </w:p>
    <w:p>
      <w:bookmarkStart w:id="2" w:name="s2"/>
      <w:pPr>
        <w:pStyle w:val="Heading1"/>
      </w:pPr>
      <w:r>
        <w:t>本模块的正式文书协议</w:t>
      </w:r>
      <w:bookmarkEnd w:id="2"/>
    </w:p>
    <w:p>
      <w:pPr>
        <w:widowControl/>
      </w:pPr>
      <w:r>
        <w:t>所有正式医学文书正文置于独立Markdown text代码框。记录日期、时间、标题和查房医师姓名职称置于框外；框内仅放医学正文，不重复题头，不放AI解释、备注或核对问题。日常病程和主治、副主任、主任医师查房均为连续完整一整段，不分条、不留空行、不人为加空格，仍需保留必要临床内容。入院、首次病程、术前小结、操作记录、抢救和出院文书可保留必要栏目。临床事件时间、标本时间和既往操作日期可以出现在正文，不能误删。禁止“根据昨天的病程记录”“结合前一天的查体情况”“根据用户上传的图片”“AI分析认为”。模板中的【字段】只供构造，正式净稿须替换或安全删除，不能保留占位符、“有/无”双选或默认正常。关键事实冲突在框外提示并阻断受影响净稿。</w:t>
      </w:r>
    </w:p>
    <w:p>
      <w:pPr>
        <w:widowControl/>
      </w:pPr>
      <w:r>
        <w:t>下列含槽位模板供构造，不能把【字段】带入净稿。医师意见、沟通与治疗计划只有真实记录才写。病理结果与每个病灶及事件分别匹配，未知评分不填写。操作前和后模板仅在该病种实际需要并已发生相应阶段时调用，不强迫所有患者做内镜或取材。</w:t>
      </w:r>
    </w:p>
    <w:p>
      <w:bookmarkStart w:id="3" w:name="s3"/>
      <w:pPr>
        <w:pStyle w:val="Heading1"/>
      </w:pPr>
      <w:r>
        <w:t>核心疾病的医学知识和完整文书</w:t>
      </w:r>
      <w:bookmarkEnd w:id="3"/>
    </w:p>
    <w:p>
      <w:pPr>
        <w:pStyle w:val="Heading2"/>
      </w:pPr>
      <w:r>
        <w:t>01 胃 结肠 直肠及多发消化道息肉</w:t>
      </w:r>
    </w:p>
    <w:p>
      <w:pPr>
        <w:pStyle w:val="Heading3"/>
      </w:pPr>
      <w:r>
        <w:t>疾病定义 机制及证据采集</w:t>
      </w:r>
    </w:p>
    <w:p>
      <w:pPr>
        <w:widowControl/>
      </w:pPr>
      <w:r>
        <w:t>01 疾病定义：息肉是形态称谓，不代表统一病理或全部已切除；多病灶分别管理。</w:t>
      </w:r>
    </w:p>
    <w:p>
      <w:pPr>
        <w:widowControl/>
      </w:pPr>
      <w:r>
        <w:t>02 病因与机制：腺瘤、锯齿、炎症增生及其他来源，胃与结直肠病理谱不同。</w:t>
      </w:r>
    </w:p>
    <w:p>
      <w:pPr>
        <w:widowControl/>
      </w:pPr>
      <w:r>
        <w:t>03 临床表现：多无症状，可隐血贫血或出血，症状归因需证据。</w:t>
      </w:r>
    </w:p>
    <w:p>
      <w:pPr>
        <w:widowControl/>
      </w:pPr>
      <w:r>
        <w:t>04 病史采集：既往息肉数量位置病理、家族肿瘤、内镜质量、抗栓及切除史；所有症状保留起始、持续、诱因、进食排便关系和真实治疗反应。</w:t>
      </w:r>
    </w:p>
    <w:p>
      <w:pPr>
        <w:widowControl/>
      </w:pPr>
      <w:r>
        <w:t>05 专科查体：营养贫血、腹征和必要直肠检查实际记录；只写当次实查，不补正常。</w:t>
      </w:r>
    </w:p>
    <w:p>
      <w:pPr>
        <w:widowControl/>
      </w:pPr>
      <w:r>
        <w:t>06 实验室：Hb凝血及按适应性病因检查，标志物不能定息肉良恶性，保存时间、单位、参考和可比性。</w:t>
      </w:r>
    </w:p>
    <w:p>
      <w:pPr>
        <w:widowControl/>
      </w:pPr>
      <w:r>
        <w:t>07 影像：一般由内镜定位，疑深浸润或其他问题选影像，是否已经实施另行核实。</w:t>
      </w:r>
    </w:p>
    <w:p>
      <w:pPr>
        <w:widowControl/>
      </w:pPr>
      <w:r>
        <w:t>08 消化内镜：每病灶位置数量大小形态、实际活检冷切热切EMR或未处理，保留真实范围和受限原因。</w:t>
      </w:r>
    </w:p>
    <w:p>
      <w:pPr>
        <w:widowControl/>
      </w:pPr>
      <w:r>
        <w:t>09 病原与病理：逐瓶号取材类型与病理；同瓶多灶无法精确归属时标集合；取材类型和瓶号与病灶对应。</w:t>
      </w:r>
    </w:p>
    <w:p>
      <w:pPr>
        <w:pStyle w:val="Heading3"/>
      </w:pPr>
      <w:r>
        <w:t>诊断 鉴别 严重度和治疗原则</w:t>
      </w:r>
    </w:p>
    <w:p>
      <w:pPr>
        <w:widowControl/>
      </w:pPr>
      <w:r>
        <w:t>10 诊断标准：形态诊断与组织病理分开，活检不等完整切除，技术完成不等R0。</w:t>
      </w:r>
    </w:p>
    <w:p>
      <w:pPr>
        <w:widowControl/>
      </w:pPr>
      <w:r>
        <w:t>11 诊断依据：逐项列本例支持、反对和缺失证据；症状、镜下判断、病理与临床综合诊断分层，不超过原报告确定度。</w:t>
      </w:r>
    </w:p>
    <w:p>
      <w:pPr>
        <w:widowControl/>
      </w:pPr>
      <w:r>
        <w:t>12 鉴别诊断：黏膜下隆起、早癌、炎性假息肉及正常皱襞，逐一说明区别所需证据，不机械列疾病名。</w:t>
      </w:r>
    </w:p>
    <w:p>
      <w:pPr>
        <w:widowControl/>
      </w:pPr>
      <w:r>
        <w:t>13 疾病分型和严重程度：器官、数目大小形态、组织类别及切除状态分别。</w:t>
      </w:r>
    </w:p>
    <w:p>
      <w:pPr>
        <w:widowControl/>
      </w:pPr>
      <w:r>
        <w:t>14 相关内镜分级：Paris、NICE/JNET等仅实际评估，光学分型不能代切除病理。仅使用适用体系和完整变量，数据时间与版本必须明确，未提供不推分。</w:t>
      </w:r>
    </w:p>
    <w:p>
      <w:pPr>
        <w:widowControl/>
      </w:pPr>
      <w:r>
        <w:t>15 临床风险：出血穿孔、残留复发、遗传风险及病灶漏诊。</w:t>
      </w:r>
    </w:p>
    <w:p>
      <w:pPr>
        <w:widowControl/>
      </w:pPr>
      <w:r>
        <w:t>16 非内镜治疗原则：病因营养药物风险管理，部分病变选择观察须医师个体决定。以下为知识和决策范围，患者实际药物、剂量和执行只能取自原记录。</w:t>
      </w:r>
    </w:p>
    <w:p>
      <w:pPr>
        <w:widowControl/>
      </w:pPr>
      <w:r>
        <w:t>17 内镜检查和治疗适应性：是否切除及方式取决大小形态部位侵袭风险与团队，不机械所有EMR。拟行、准备和实际完成分开，侵入性方案由有权限团队确认。</w:t>
      </w:r>
    </w:p>
    <w:p>
      <w:pPr>
        <w:widowControl/>
      </w:pPr>
      <w:r>
        <w:t>18 操作风险：即时/迟发出血、热损伤、穿孔及麻醉抗栓风险；麻醉、抗栓和替代方案按05及07个体核对。</w:t>
      </w:r>
    </w:p>
    <w:p>
      <w:pPr>
        <w:widowControl/>
      </w:pPr>
      <w:r>
        <w:t>19 并发症：残留复发、出血穿孔和恶性潜能各按证据；不能由风险直接写成已发生。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病例特点：【与胃 结肠 直肠及多发消化道息肉相关的病史、实查及带日期证据】。</w:t>
      </w:r>
    </w:p>
    <w:p>
      <w:pPr>
        <w:pStyle w:val="Code"/>
        <w:keepLines w:val="0"/>
        <w:widowControl/>
      </w:pPr>
      <w:r>
        <w:t>初步诊断：【本疾病诊断与确定度，合并及待排问题】。</w:t>
      </w:r>
    </w:p>
    <w:p>
      <w:pPr>
        <w:pStyle w:val="Code"/>
        <w:keepLines w:val="0"/>
        <w:widowControl/>
      </w:pPr>
      <w:r>
        <w:t>诊断依据：【支持本例形态诊断与组织病理分开，活检不等完整切除，技术完成不等R0的真实资料及缺口】。</w:t>
      </w:r>
    </w:p>
    <w:p>
      <w:pPr>
        <w:pStyle w:val="Code"/>
        <w:keepLines w:val="0"/>
        <w:widowControl/>
      </w:pPr>
      <w:r>
        <w:t>鉴别诊断：【围绕黏膜下隆起、早癌、炎性假息肉及正常皱襞的本例支持反对依据与区分计划】。</w:t>
      </w:r>
    </w:p>
    <w:p>
      <w:pPr>
        <w:pStyle w:val="Code"/>
        <w:keepLines w:val="0"/>
        <w:widowControl/>
      </w:pPr>
      <w:r>
        <w:t>诊疗计划：【医师确认的病因及逐病灶处理、回收病理和出血腹痛评估、治疗和风险监测；已执行另列状态】。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逐病灶处理、回收病理和出血腹痛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逐病灶处理、回收病理和出血腹痛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黏膜下隆起、早癌、炎性假息肉及正常皱襞、器官、数目大小形态、组织类别及切除状态分别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多病灶总体风险、分期切除和遗传评估的取舍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每病灶位置数量大小形态、实际活检冷切热切EMR或未处理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即时/迟发出血、热损伤、穿孔及麻醉抗栓风险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逐瓶号取材类型与病理；同瓶多灶无法精确归属时标集合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残留复发、出血穿孔和恶性潜能各按证据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出院医嘱：【已确认药物、营养活动、按病理数量大小、切除完整性和准备质量个体复查的个体安排及警示症状和追踪责任】。</w:t>
      </w:r>
    </w:p>
    <w:p>
      <w:pPr>
        <w:pStyle w:val="Code"/>
      </w:pPr>
      <w:r>
        <w:t>```</w:t>
      </w:r>
    </w:p>
    <w:p>
      <w:pPr>
        <w:widowControl/>
      </w:pPr>
      <w:r>
        <w:t>31 长期随访：按病理数量大小、切除完整性和准备质量个体复查。每项具体时间由医师结合本例确定，不机械给全部患者同一胃肠镜间隔。</w:t>
      </w:r>
    </w:p>
    <w:p>
      <w:pPr>
        <w:widowControl/>
      </w:pPr>
      <w:r>
        <w:t>32 质量控制：不推数量尺寸，不挪病理，不把所有息肉都写切净。此外核身份住院、当前时点、内镜实际状态、标本归属、治疗执行和医师意见；未核关键事实阻断对应净稿。</w:t>
      </w:r>
    </w:p>
    <w:p>
      <w:pPr>
        <w:widowControl/>
      </w:pPr>
      <w:r>
        <w:t>33 参考版本和适用章节：R22 中国结直肠息肉冷切2023；R23 胃ESD围期2025及早期胃癌共识2023太原；R24 ESGE结直肠EMR2024补充；R25 中国胃食管癌2024方案及胃癌2022；R20 EUS2021；本卡适用范围为本病的诊断证据、分型和管理原则。核验日期2026-10-26，可访问层级及限制见文末来源。</w:t>
      </w:r>
    </w:p>
    <w:p>
      <w:pPr>
        <w:pStyle w:val="Heading2"/>
      </w:pPr>
      <w:r>
        <w:t>02 腺瘤 锯齿状病变 癌前状态与遗传风险</w:t>
      </w:r>
    </w:p>
    <w:p>
      <w:pPr>
        <w:pStyle w:val="Heading3"/>
      </w:pPr>
      <w:r>
        <w:t>疾病定义 机制及证据采集</w:t>
      </w:r>
    </w:p>
    <w:p>
      <w:pPr>
        <w:widowControl/>
      </w:pPr>
      <w:r>
        <w:t>01 疾病定义：腺瘤、增生性息肉和锯齿病变有不同组织学及风险，综合征需标准。</w:t>
      </w:r>
    </w:p>
    <w:p>
      <w:pPr>
        <w:widowControl/>
      </w:pPr>
      <w:r>
        <w:t>02 病因与机制：传统腺瘤与锯齿通路等，家族遗传和多发负荷可相关。</w:t>
      </w:r>
    </w:p>
    <w:p>
      <w:pPr>
        <w:widowControl/>
      </w:pPr>
      <w:r>
        <w:t>03 临床表现：多无症状，可出血贫血或家族筛查发现。</w:t>
      </w:r>
    </w:p>
    <w:p>
      <w:pPr>
        <w:widowControl/>
      </w:pPr>
      <w:r>
        <w:t>04 病史采集：病理谱、数目累积与不同日期、家族发病年龄、既往切除完整性；所有症状保留起始、持续、诱因、进食排便关系和真实治疗反应。</w:t>
      </w:r>
    </w:p>
    <w:p>
      <w:pPr>
        <w:widowControl/>
      </w:pPr>
      <w:r>
        <w:t>05 专科查体：贫血营养、腹征，遗传体征仅实查才写；只写当次实查，不补正常。</w:t>
      </w:r>
    </w:p>
    <w:p>
      <w:pPr>
        <w:widowControl/>
      </w:pPr>
      <w:r>
        <w:t>06 实验室：Hb及个体评估，遗传检测需真实知情和结果，保存时间、单位、参考和可比性。</w:t>
      </w:r>
    </w:p>
    <w:p>
      <w:pPr>
        <w:widowControl/>
      </w:pPr>
      <w:r>
        <w:t>07 影像：有侵袭或肠外问题才按需影像，不凭CT定腺瘤级别，是否已经实施另行核实。</w:t>
      </w:r>
    </w:p>
    <w:p>
      <w:pPr>
        <w:widowControl/>
      </w:pPr>
      <w:r>
        <w:t>08 消化内镜：平坦锯齿病变观察质量、边界位置和完整性需原文，保留真实范围和受限原因。</w:t>
      </w:r>
    </w:p>
    <w:p>
      <w:pPr>
        <w:widowControl/>
      </w:pPr>
      <w:r>
        <w:t>09 病原与病理：腺瘤结构与异型增生、锯齿亚型，复核争议病理；取材类型和瓶号与病灶对应。</w:t>
      </w:r>
    </w:p>
    <w:p>
      <w:pPr>
        <w:pStyle w:val="Heading3"/>
      </w:pPr>
      <w:r>
        <w:t>诊断 鉴别 严重度和治疗原则</w:t>
      </w:r>
    </w:p>
    <w:p>
      <w:pPr>
        <w:widowControl/>
      </w:pPr>
      <w:r>
        <w:t>10 诊断标准：正式组织学确定类别，综合征按完整标准而非单次多息肉即定。</w:t>
      </w:r>
    </w:p>
    <w:p>
      <w:pPr>
        <w:widowControl/>
      </w:pPr>
      <w:r>
        <w:t>11 诊断依据：逐项列本例支持、反对和缺失证据；症状、镜下判断、病理与临床综合诊断分层，不超过原报告确定度。</w:t>
      </w:r>
    </w:p>
    <w:p>
      <w:pPr>
        <w:widowControl/>
      </w:pPr>
      <w:r>
        <w:t>12 鉴别诊断：炎性增生、传统腺瘤、不同锯齿病变与癌，逐一说明区别所需证据，不机械列疾病名。</w:t>
      </w:r>
    </w:p>
    <w:p>
      <w:pPr>
        <w:widowControl/>
      </w:pPr>
      <w:r>
        <w:t>13 疾病分型和严重程度：数目大小组织级别和综合征风险，累积病灶跨事件可计但不混位置。</w:t>
      </w:r>
    </w:p>
    <w:p>
      <w:pPr>
        <w:widowControl/>
      </w:pPr>
      <w:r>
        <w:t>14 相关内镜分级：光学分型支持取舍不替代病理，病理等级不由尺寸推。仅使用适用体系和完整变量，数据时间与版本必须明确，未提供不推分。</w:t>
      </w:r>
    </w:p>
    <w:p>
      <w:pPr>
        <w:widowControl/>
      </w:pPr>
      <w:r>
        <w:t>15 临床风险：漏诊、不完整切除、间期癌和遗传相关肿瘤。</w:t>
      </w:r>
    </w:p>
    <w:p>
      <w:pPr>
        <w:widowControl/>
      </w:pPr>
      <w:r>
        <w:t>16 非内镜治疗原则：危险因素与家族咨询，是否遗传评估由专业团队确认。以下为知识和决策范围，患者实际药物、剂量和执行只能取自原记录。</w:t>
      </w:r>
    </w:p>
    <w:p>
      <w:pPr>
        <w:widowControl/>
      </w:pPr>
      <w:r>
        <w:t>17 内镜检查和治疗适应性：切除策略、瘢痕复查和分期处理依风险及技术，必要外科。拟行、准备和实际完成分开，侵入性方案由有权限团队确认。</w:t>
      </w:r>
    </w:p>
    <w:p>
      <w:pPr>
        <w:widowControl/>
      </w:pPr>
      <w:r>
        <w:t>18 操作风险：大平坦病变切除出血穿孔、病理分片局限；麻醉、抗栓和替代方案按05及07个体核对。</w:t>
      </w:r>
    </w:p>
    <w:p>
      <w:pPr>
        <w:widowControl/>
      </w:pPr>
      <w:r>
        <w:t>19 并发症：复发、癌进展与切除并发症不可直接预设；不能由风险直接写成已发生。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病例特点：【与腺瘤 锯齿状病变 癌前状态与遗传风险相关的病史、实查及带日期证据】。</w:t>
      </w:r>
    </w:p>
    <w:p>
      <w:pPr>
        <w:pStyle w:val="Code"/>
        <w:keepLines w:val="0"/>
        <w:widowControl/>
      </w:pPr>
      <w:r>
        <w:t>初步诊断：【本疾病诊断与确定度，合并及待排问题】。</w:t>
      </w:r>
    </w:p>
    <w:p>
      <w:pPr>
        <w:pStyle w:val="Code"/>
        <w:keepLines w:val="0"/>
        <w:widowControl/>
      </w:pPr>
      <w:r>
        <w:t>诊断依据：【支持本例正式组织学确定类别，综合征按完整标准而非单次多息肉即定的真实资料及缺口】。</w:t>
      </w:r>
    </w:p>
    <w:p>
      <w:pPr>
        <w:pStyle w:val="Code"/>
        <w:keepLines w:val="0"/>
        <w:widowControl/>
      </w:pPr>
      <w:r>
        <w:t>鉴别诊断：【围绕炎性增生、传统腺瘤、不同锯齿病变与癌的本例支持反对依据与区分计划】。</w:t>
      </w:r>
    </w:p>
    <w:p>
      <w:pPr>
        <w:pStyle w:val="Code"/>
        <w:keepLines w:val="0"/>
        <w:widowControl/>
      </w:pPr>
      <w:r>
        <w:t>诊疗计划：【医师确认的病因及病理亚型、真实累积病灶与切除质量评估、治疗和风险监测；已执行另列状态】。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病理亚型、真实累积病灶与切除质量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病理亚型、真实累积病灶与切除质量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炎性增生、传统腺瘤、不同锯齿病变与癌、数目大小组织级别和综合征风险，累积病灶跨事件可计但不混位置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遗传评估、内镜监测和外科之间的长期权衡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平坦锯齿病变观察质量、边界位置和完整性需原文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大平坦病变切除出血穿孔、病理分片局限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腺瘤结构与异型增生、锯齿亚型，复核争议病理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复发、癌进展与切除并发症不可直接预设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出院医嘱：【已确认药物、营养活动、结合风险和切除质量确认复查，家属筛查需真实专业安排的个体安排及警示症状和追踪责任】。</w:t>
      </w:r>
    </w:p>
    <w:p>
      <w:pPr>
        <w:pStyle w:val="Code"/>
      </w:pPr>
      <w:r>
        <w:t>```</w:t>
      </w:r>
    </w:p>
    <w:p>
      <w:pPr>
        <w:widowControl/>
      </w:pPr>
      <w:r>
        <w:t>31 长期随访：结合风险和切除质量确认复查，家属筛查需真实专业安排。每项具体时间由医师结合本例确定，不机械给全部患者同一胃肠镜间隔。</w:t>
      </w:r>
    </w:p>
    <w:p>
      <w:pPr>
        <w:widowControl/>
      </w:pPr>
      <w:r>
        <w:t>32 质量控制：增生性和SSL不混用，不能将每枚病灶统一判腺瘤。此外核身份住院、当前时点、内镜实际状态、标本归属、治疗执行和医师意见；未核关键事实阻断对应净稿。</w:t>
      </w:r>
    </w:p>
    <w:p>
      <w:pPr>
        <w:widowControl/>
      </w:pPr>
      <w:r>
        <w:t>33 参考版本和适用章节：R22 中国结直肠息肉冷切2023；R23 胃ESD围期2025及早期胃癌共识2023太原；R24 ESGE结直肠EMR2024补充；R25 中国胃食管癌2024方案及胃癌2022；R20 EUS2021；本卡适用范围为本病的诊断证据、分型和管理原则。核验日期2026-10-26，可访问层级及限制见文末来源。</w:t>
      </w:r>
    </w:p>
    <w:p>
      <w:pPr>
        <w:pStyle w:val="Heading2"/>
      </w:pPr>
      <w:r>
        <w:t>03 食管癌前病变及早期食管肿瘤内镜诊疗</w:t>
      </w:r>
    </w:p>
    <w:p>
      <w:pPr>
        <w:pStyle w:val="Heading3"/>
      </w:pPr>
      <w:r>
        <w:t>疾病定义 机制及证据采集</w:t>
      </w:r>
    </w:p>
    <w:p>
      <w:pPr>
        <w:widowControl/>
      </w:pPr>
      <w:r>
        <w:t>01 疾病定义：鳞状和腺上皮早期肿瘤的层次风险不同，癌前与浸润癌区分。</w:t>
      </w:r>
    </w:p>
    <w:p>
      <w:pPr>
        <w:widowControl/>
      </w:pPr>
      <w:r>
        <w:t>02 病因与机制：慢性损伤、相关暴露和Barrett等背景，不同组织来源分别。</w:t>
      </w:r>
    </w:p>
    <w:p>
      <w:pPr>
        <w:widowControl/>
      </w:pPr>
      <w:r>
        <w:t>03 临床表现：可无症状或吞咽不适，进行性困难需更广评估。</w:t>
      </w:r>
    </w:p>
    <w:p>
      <w:pPr>
        <w:widowControl/>
      </w:pPr>
      <w:r>
        <w:t>04 病史采集：病灶长度周径、活检类型、既往切除消融放疗及营养；所有症状保留起始、持续、诱因、进食排便关系和真实治疗反应。</w:t>
      </w:r>
    </w:p>
    <w:p>
      <w:pPr>
        <w:widowControl/>
      </w:pPr>
      <w:r>
        <w:t>05 专科查体：营养、吞咽气道、贫血及真实胸腹实查；只写当次实查，不补正常。</w:t>
      </w:r>
    </w:p>
    <w:p>
      <w:pPr>
        <w:widowControl/>
      </w:pPr>
      <w:r>
        <w:t>06 实验室：血常规肝肾凝血，肿瘤标志物不能替代病理，保存时间、单位、参考和可比性。</w:t>
      </w:r>
    </w:p>
    <w:p>
      <w:pPr>
        <w:widowControl/>
      </w:pPr>
      <w:r>
        <w:t>07 影像：EUS/CT等按疑深度结节和分期需要，不能凭外观pTNM，是否已经实施另行核实。</w:t>
      </w:r>
    </w:p>
    <w:p>
      <w:pPr>
        <w:widowControl/>
      </w:pPr>
      <w:r>
        <w:t>08 消化内镜：精确位置、纵长周径和形态，切除方式及标本定向据实，保留真实范围和受限原因。</w:t>
      </w:r>
    </w:p>
    <w:p>
      <w:pPr>
        <w:widowControl/>
      </w:pPr>
      <w:r>
        <w:t>09 病原与病理：鳞癌或腺癌、分化层次、脉管、水平垂直切缘及完整性；取材类型和瓶号与病灶对应。</w:t>
      </w:r>
    </w:p>
    <w:p>
      <w:pPr>
        <w:pStyle w:val="Heading3"/>
      </w:pPr>
      <w:r>
        <w:t>诊断 鉴别 严重度和治疗原则</w:t>
      </w:r>
    </w:p>
    <w:p>
      <w:pPr>
        <w:widowControl/>
      </w:pPr>
      <w:r>
        <w:t>10 诊断标准：早期层次和可切除性需相应证据，活检无法全面评价切缘和最深浸润。</w:t>
      </w:r>
    </w:p>
    <w:p>
      <w:pPr>
        <w:widowControl/>
      </w:pPr>
      <w:r>
        <w:t>11 诊断依据：逐项列本例支持、反对和缺失证据；症状、镜下判断、病理与临床综合诊断分层，不超过原报告确定度。</w:t>
      </w:r>
    </w:p>
    <w:p>
      <w:pPr>
        <w:widowControl/>
      </w:pPr>
      <w:r>
        <w:t>12 鉴别诊断：炎症、异型增生、Barrett病变及其他肿瘤，逐一说明区别所需证据，不机械列疾病名。</w:t>
      </w:r>
    </w:p>
    <w:p>
      <w:pPr>
        <w:widowControl/>
      </w:pPr>
      <w:r>
        <w:t>13 疾病分型和严重程度：组织类型、层次和脉管等风险；c与p分期区分，器官标准专用。</w:t>
      </w:r>
    </w:p>
    <w:p>
      <w:pPr>
        <w:widowControl/>
      </w:pPr>
      <w:r>
        <w:t>14 相关内镜分级：Paris及光学仅原记录，不能套胃eCura给食管。仅使用适用体系和完整变量，数据时间与版本必须明确，未提供不推分。</w:t>
      </w:r>
    </w:p>
    <w:p>
      <w:pPr>
        <w:widowControl/>
      </w:pPr>
      <w:r>
        <w:t>15 临床风险：淋巴转移、狭窄、局部残留及追加治疗风险。</w:t>
      </w:r>
    </w:p>
    <w:p>
      <w:pPr>
        <w:widowControl/>
      </w:pPr>
      <w:r>
        <w:t>16 非内镜治疗原则：营养、基础病及肿瘤综合治疗由MDT，不能自动放化疗。以下为知识和决策范围，患者实际药物、剂量和执行只能取自原记录。</w:t>
      </w:r>
    </w:p>
    <w:p>
      <w:pPr>
        <w:widowControl/>
      </w:pPr>
      <w:r>
        <w:t>17 内镜检查和治疗适应性：内镜切除或消融依组织类型范围深度，非治愈需评追加。拟行、准备和实际完成分开，侵入性方案由有权限团队确认。</w:t>
      </w:r>
    </w:p>
    <w:p>
      <w:pPr>
        <w:widowControl/>
      </w:pPr>
      <w:r>
        <w:t>18 操作风险：出血穿孔、纵隔相关感染、环周大范围后狭窄和麻醉；麻醉、抗栓和替代方案按05及07个体核对。</w:t>
      </w:r>
    </w:p>
    <w:p>
      <w:pPr>
        <w:widowControl/>
      </w:pPr>
      <w:r>
        <w:t>19 并发症：狭窄、出血穿孔、残留复发和转移风险；不能由风险直接写成已发生。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病例特点：【与食管癌前病变及早期食管肿瘤内镜诊疗相关的病史、实查及带日期证据】。</w:t>
      </w:r>
    </w:p>
    <w:p>
      <w:pPr>
        <w:pStyle w:val="Code"/>
        <w:keepLines w:val="0"/>
        <w:widowControl/>
      </w:pPr>
      <w:r>
        <w:t>初步诊断：【本疾病诊断与确定度，合并及待排问题】。</w:t>
      </w:r>
    </w:p>
    <w:p>
      <w:pPr>
        <w:pStyle w:val="Code"/>
        <w:keepLines w:val="0"/>
        <w:widowControl/>
      </w:pPr>
      <w:r>
        <w:t>诊断依据：【支持本例早期层次和可切除性需相应证据，活检无法全面评价切缘和最深浸润的真实资料及缺口】。</w:t>
      </w:r>
    </w:p>
    <w:p>
      <w:pPr>
        <w:pStyle w:val="Code"/>
        <w:keepLines w:val="0"/>
        <w:widowControl/>
      </w:pPr>
      <w:r>
        <w:t>鉴别诊断：【围绕炎症、异型增生、Barrett病变及其他肿瘤的本例支持反对依据与区分计划】。</w:t>
      </w:r>
    </w:p>
    <w:p>
      <w:pPr>
        <w:pStyle w:val="Code"/>
        <w:keepLines w:val="0"/>
        <w:widowControl/>
      </w:pPr>
      <w:r>
        <w:t>诊疗计划：【医师确认的病因及组织类型、范围周径与切除病理评估、治疗和风险监测；已执行另列状态】。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组织类型、范围周径与切除病理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组织类型、范围周径与切除病理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炎症、异型增生、Barrett病变及其他肿瘤、组织类型、层次和脉管等风险；c与p分期区分，器官标准专用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局部治疗与外科放化疗的获益风险及器官功能保留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精确位置、纵长周径和形态，切除方式及标本定向据实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出血穿孔、纵隔相关感染、环周大范围后狭窄和麻醉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鳞癌或腺癌、分化层次、脉管、水平垂直切缘及完整性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狭窄、出血穿孔、残留复发和转移风险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出院医嘱：【已确认药物、营养活动、病理风险、狭窄和局部/异时病变的实际随访的个体安排及警示症状和追踪责任】。</w:t>
      </w:r>
    </w:p>
    <w:p>
      <w:pPr>
        <w:pStyle w:val="Code"/>
      </w:pPr>
      <w:r>
        <w:t>```</w:t>
      </w:r>
    </w:p>
    <w:p>
      <w:pPr>
        <w:widowControl/>
      </w:pPr>
      <w:r>
        <w:t>31 长期随访：病理风险、狭窄和局部/异时病变的实际随访。每项具体时间由医师结合本例确定，不机械给全部患者同一胃肠镜间隔。</w:t>
      </w:r>
    </w:p>
    <w:p>
      <w:pPr>
        <w:widowControl/>
      </w:pPr>
      <w:r>
        <w:t>32 质量控制：不由外观推深度，食管鳞癌与腺癌不套统一治愈标准。此外核身份住院、当前时点、内镜实际状态、标本归属、治疗执行和医师意见；未核关键事实阻断对应净稿。</w:t>
      </w:r>
    </w:p>
    <w:p>
      <w:pPr>
        <w:widowControl/>
      </w:pPr>
      <w:r>
        <w:t>33 参考版本和适用章节：R22 中国结直肠息肉冷切2023；R23 胃ESD围期2025及早期胃癌共识2023太原；R24 ESGE结直肠EMR2024补充；R25 中国胃食管癌2024方案及胃癌2022；R20 EUS2021；本卡适用范围为本病的诊断证据、分型和管理原则。核验日期2026-10-26，可访问层级及限制见文末来源。</w:t>
      </w:r>
    </w:p>
    <w:p>
      <w:pPr>
        <w:pStyle w:val="Heading2"/>
      </w:pPr>
      <w:r>
        <w:t>04 胃黏膜异型增生 早期胃癌及EMR ESD切除后评价</w:t>
      </w:r>
    </w:p>
    <w:p>
      <w:pPr>
        <w:pStyle w:val="Heading3"/>
      </w:pPr>
      <w:r>
        <w:t>疾病定义 机制及证据采集</w:t>
      </w:r>
    </w:p>
    <w:p>
      <w:pPr>
        <w:widowControl/>
      </w:pPr>
      <w:r>
        <w:t>01 疾病定义：胃早癌的深度定义与分期、内镜治愈性是不同概念，异型增生不能直接写癌。</w:t>
      </w:r>
    </w:p>
    <w:p>
      <w:pPr>
        <w:widowControl/>
      </w:pPr>
      <w:r>
        <w:t>02 病因与机制：萎缩肠化Hp等背景与肿瘤发生相关，组织分化和淋巴风险影响策略。</w:t>
      </w:r>
    </w:p>
    <w:p>
      <w:pPr>
        <w:widowControl/>
      </w:pPr>
      <w:r>
        <w:t>03 临床表现：早期可无症状，上腹不适、贫血或筛查发现。</w:t>
      </w:r>
    </w:p>
    <w:p>
      <w:pPr>
        <w:widowControl/>
      </w:pPr>
      <w:r>
        <w:t>04 病史采集：原病灶位置大小溃疡、活检、Hp、既往切除与患者合并症和真实意愿；所有症状保留起始、持续、诱因、进食排便关系和真实治疗反应。</w:t>
      </w:r>
    </w:p>
    <w:p>
      <w:pPr>
        <w:widowControl/>
      </w:pPr>
      <w:r>
        <w:t>05 专科查体：营养贫血、腹征及操作耐受相关实查；只写当次实查，不补正常。</w:t>
      </w:r>
    </w:p>
    <w:p>
      <w:pPr>
        <w:widowControl/>
      </w:pPr>
      <w:r>
        <w:t>06 实验室：Hb凝血肝肾及必要营养，标志物不是早癌确诊，保存时间、单位、参考和可比性。</w:t>
      </w:r>
    </w:p>
    <w:p>
      <w:pPr>
        <w:widowControl/>
      </w:pPr>
      <w:r>
        <w:t>07 影像：按疑深浸润结节或分期需要选择，不用阴性CT判病理无淋巴风险，是否已经实施另行核实。</w:t>
      </w:r>
    </w:p>
    <w:p>
      <w:pPr>
        <w:widowControl/>
      </w:pPr>
      <w:r>
        <w:t>08 消化内镜：病灶定位边界形态溃疡征和实际EMR/ESD，整块分片分别，保留真实范围和受限原因。</w:t>
      </w:r>
    </w:p>
    <w:p>
      <w:pPr>
        <w:widowControl/>
      </w:pPr>
      <w:r>
        <w:t>09 病原与病理：正式切除标本类型分化、大小、溃疡、浸润层与实测深度、HM VM、LVI和完整性；取材类型和瓶号与病灶对应。</w:t>
      </w:r>
    </w:p>
    <w:p>
      <w:pPr>
        <w:pStyle w:val="Heading3"/>
      </w:pPr>
      <w:r>
        <w:t>诊断 鉴别 严重度和治疗原则</w:t>
      </w:r>
    </w:p>
    <w:p>
      <w:pPr>
        <w:widowControl/>
      </w:pPr>
      <w:r>
        <w:t>10 诊断标准：组织学确诊与胃部适用治愈性标准逐项匹配，缺项不能eCura或治愈判定。</w:t>
      </w:r>
    </w:p>
    <w:p>
      <w:pPr>
        <w:widowControl/>
      </w:pPr>
      <w:r>
        <w:t>11 诊断依据：逐项列本例支持、反对和缺失证据；症状、镜下判断、病理与临床综合诊断分层，不超过原报告确定度。</w:t>
      </w:r>
    </w:p>
    <w:p>
      <w:pPr>
        <w:widowControl/>
      </w:pPr>
      <w:r>
        <w:t>12 鉴别诊断：反应性异型、溃疡型病变、不同肿瘤和活检取样偏差，逐一说明区别所需证据，不机械列疾病名。</w:t>
      </w:r>
    </w:p>
    <w:p>
      <w:pPr>
        <w:widowControl/>
      </w:pPr>
      <w:r>
        <w:t>13 疾病分型和严重程度：病理深度分化及风险，R0与治愈性分别，cTNM/pTNM注明版本。</w:t>
      </w:r>
    </w:p>
    <w:p>
      <w:pPr>
        <w:widowControl/>
      </w:pPr>
      <w:r>
        <w:t>14 相关内镜分级：胃部eCura等必须采用明确版本及全变量，食管结直肠不套。仅使用适用体系和完整变量，数据时间与版本必须明确，未提供不推分。</w:t>
      </w:r>
    </w:p>
    <w:p>
      <w:pPr>
        <w:widowControl/>
      </w:pPr>
      <w:r>
        <w:t>15 临床风险：非治愈、淋巴风险、残留异时肿瘤、出血穿孔和手术风险。</w:t>
      </w:r>
    </w:p>
    <w:p>
      <w:pPr>
        <w:widowControl/>
      </w:pPr>
      <w:r>
        <w:t>16 非内镜治疗原则：Hp证实后适用处理、抑酸营养和肿瘤后续由实际医师决定。以下为知识和决策范围，患者实际药物、剂量和执行只能取自原记录。</w:t>
      </w:r>
    </w:p>
    <w:p>
      <w:pPr>
        <w:widowControl/>
      </w:pPr>
      <w:r>
        <w:t>17 内镜检查和治疗适应性：胃ESD适应性按病灶和整体风险，EMR不是ESD；不利病理需MDT追加。拟行、准备和实际完成分开，侵入性方案由有权限团队确认。</w:t>
      </w:r>
    </w:p>
    <w:p>
      <w:pPr>
        <w:widowControl/>
      </w:pPr>
      <w:r>
        <w:t>18 操作风险：出血穿孔、特殊部位狭窄、镇静及抗栓风险；麻醉、抗栓和替代方案按05及07个体核对。</w:t>
      </w:r>
    </w:p>
    <w:p>
      <w:pPr>
        <w:widowControl/>
      </w:pPr>
      <w:r>
        <w:t>19 并发症：迟发出血穿孔、残留复发和异时病变；不能由风险直接写成已发生。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病例特点：【与胃黏膜异型增生 早期胃癌及EMR ESD切除后评价相关的病史、实查及带日期证据】。</w:t>
      </w:r>
    </w:p>
    <w:p>
      <w:pPr>
        <w:pStyle w:val="Code"/>
        <w:keepLines w:val="0"/>
        <w:widowControl/>
      </w:pPr>
      <w:r>
        <w:t>初步诊断：【本疾病诊断与确定度，合并及待排问题】。</w:t>
      </w:r>
    </w:p>
    <w:p>
      <w:pPr>
        <w:pStyle w:val="Code"/>
        <w:keepLines w:val="0"/>
        <w:widowControl/>
      </w:pPr>
      <w:r>
        <w:t>诊断依据：【支持本例组织学确诊与胃部适用治愈性标准逐项匹配，缺项不能eCura或治愈判定的真实资料及缺口】。</w:t>
      </w:r>
    </w:p>
    <w:p>
      <w:pPr>
        <w:pStyle w:val="Code"/>
        <w:keepLines w:val="0"/>
        <w:widowControl/>
      </w:pPr>
      <w:r>
        <w:t>鉴别诊断：【围绕反应性异型、溃疡型病变、不同肿瘤和活检取样偏差的本例支持反对依据与区分计划】。</w:t>
      </w:r>
    </w:p>
    <w:p>
      <w:pPr>
        <w:pStyle w:val="Code"/>
        <w:keepLines w:val="0"/>
        <w:widowControl/>
      </w:pPr>
      <w:r>
        <w:t>诊疗计划：【医师确认的病因及切除状态、标本完整性和关键病理字段评估、治疗和风险监测；已执行另列状态】。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切除状态、标本完整性和关键病理字段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切除状态、标本完整性和关键病理字段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反应性异型、溃疡型病变、不同肿瘤和活检取样偏差、病理深度分化及风险，R0与治愈性分别，cTNM/pTNM注明版本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治愈性证据是否充分、追加外科获益及患者风险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病灶定位边界形态溃疡征和实际EMR/ESD，整块分片分别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出血穿孔、特殊部位狭窄、镇静及抗栓风险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【事件及病灶】的【取材类型和标本号】于【回报时点】回报【原病理关键结论】，与本例正式切除标本类型分化、大小、溃疡、浸润层与实测深度、HM VM、LVI和完整性的证据范围相关。结合【临床、内镜及影像】，当前可将诊断修正为【有依据结论】，尚缺【不能评价项目】，后续【真实复核、追加取材或治疗计划】。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迟发出血穿孔、残留复发和异时病变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出院医嘱：【已确认药物、营养活动、病理风险与胃黏膜背景、局部和异时病变，具体复查医师确认的个体安排及警示症状和追踪责任】。</w:t>
      </w:r>
    </w:p>
    <w:p>
      <w:pPr>
        <w:pStyle w:val="Code"/>
      </w:pPr>
      <w:r>
        <w:t>```</w:t>
      </w:r>
    </w:p>
    <w:p>
      <w:pPr>
        <w:widowControl/>
      </w:pPr>
      <w:r>
        <w:t>31 长期随访：病理风险与胃黏膜背景、局部和异时病变，具体复查医师确认。每项具体时间由医师结合本例确定，不机械给全部患者同一胃肠镜间隔。</w:t>
      </w:r>
    </w:p>
    <w:p>
      <w:pPr>
        <w:widowControl/>
      </w:pPr>
      <w:r>
        <w:t>32 质量控制：镜下切净不等R0，R0不等治愈；病理待回不填深度切缘。此外核身份住院、当前时点、内镜实际状态、标本归属、治疗执行和医师意见；未核关键事实阻断对应净稿。</w:t>
      </w:r>
    </w:p>
    <w:p>
      <w:pPr>
        <w:widowControl/>
      </w:pPr>
      <w:r>
        <w:t>33 参考版本和适用章节：R22 中国结直肠息肉冷切2023；R23 胃ESD围期2025及早期胃癌共识2023太原；R24 ESGE结直肠EMR2024补充；R25 中国胃食管癌2024方案及胃癌2022；R20 EUS2021；本卡适用范围为本病的诊断证据、分型和管理原则。核验日期2026-10-26，可访问层级及限制见文末来源。</w:t>
      </w:r>
    </w:p>
    <w:p>
      <w:pPr>
        <w:pStyle w:val="Heading2"/>
      </w:pPr>
      <w:r>
        <w:t>05 早期结直肠肿瘤 EMR ESD及非治愈性切除</w:t>
      </w:r>
    </w:p>
    <w:p>
      <w:pPr>
        <w:pStyle w:val="Heading3"/>
      </w:pPr>
      <w:r>
        <w:t>疾病定义 机制及证据采集</w:t>
      </w:r>
    </w:p>
    <w:p>
      <w:pPr>
        <w:widowControl/>
      </w:pPr>
      <w:r>
        <w:t>01 疾病定义：浅表肿瘤中黏膜和黏膜下浸润的风险不同，技术性完整和肿瘤学治愈分开。</w:t>
      </w:r>
    </w:p>
    <w:p>
      <w:pPr>
        <w:widowControl/>
      </w:pPr>
      <w:r>
        <w:t>02 病因与机制：腺瘤锯齿途径等，深度分化脉管和肿瘤芽生等影响淋巴风险。</w:t>
      </w:r>
    </w:p>
    <w:p>
      <w:pPr>
        <w:widowControl/>
      </w:pPr>
      <w:r>
        <w:t>03 临床表现：常无症状或便血贫血排便变化。</w:t>
      </w:r>
    </w:p>
    <w:p>
      <w:pPr>
        <w:widowControl/>
      </w:pPr>
      <w:r>
        <w:t>04 病史采集：准确部位距肛、形态大小、原活检、切除是否分片及抗栓；所有症状保留起始、持续、诱因、进食排便关系和真实治疗反应。</w:t>
      </w:r>
    </w:p>
    <w:p>
      <w:pPr>
        <w:widowControl/>
      </w:pPr>
      <w:r>
        <w:t>05 专科查体：贫血营养、腹征和直肠实查如已做；只写当次实查，不补正常。</w:t>
      </w:r>
    </w:p>
    <w:p>
      <w:pPr>
        <w:widowControl/>
      </w:pPr>
      <w:r>
        <w:t>06 实验室：Hb凝血肝肾，CEA等只辅助不确诊分期，保存时间、单位、参考和可比性。</w:t>
      </w:r>
    </w:p>
    <w:p>
      <w:pPr>
        <w:widowControl/>
      </w:pPr>
      <w:r>
        <w:t>07 影像：疑浸润或分期时相应CT/MRI等，直肠和结肠路径不同，是否已经实施另行核实。</w:t>
      </w:r>
    </w:p>
    <w:p>
      <w:pPr>
        <w:widowControl/>
      </w:pPr>
      <w:r>
        <w:t>08 消化内镜：Paris光学形态、抬举与纤维化记录、实际冷切热切EMR/ESD，保留真实范围和受限原因。</w:t>
      </w:r>
    </w:p>
    <w:p>
      <w:pPr>
        <w:widowControl/>
      </w:pPr>
      <w:r>
        <w:t>09 病原与病理：切除病理类型级别、最深浸润、分化、脉管、切缘、芽生如报告和标本完整性；取材类型和瓶号与病灶对应。</w:t>
      </w:r>
    </w:p>
    <w:p>
      <w:pPr>
        <w:pStyle w:val="Heading3"/>
      </w:pPr>
      <w:r>
        <w:t>诊断 鉴别 严重度和治疗原则</w:t>
      </w:r>
    </w:p>
    <w:p>
      <w:pPr>
        <w:widowControl/>
      </w:pPr>
      <w:r>
        <w:t>10 诊断标准：组织学及结直肠特异风险评价，分片或不可评价不能简单判治愈。</w:t>
      </w:r>
    </w:p>
    <w:p>
      <w:pPr>
        <w:widowControl/>
      </w:pPr>
      <w:r>
        <w:t>11 诊断依据：逐项列本例支持、反对和缺失证据；症状、镜下判断、病理与临床综合诊断分层，不超过原报告确定度。</w:t>
      </w:r>
    </w:p>
    <w:p>
      <w:pPr>
        <w:widowControl/>
      </w:pPr>
      <w:r>
        <w:t>12 鉴别诊断：高级别上皮内瘤变、浸润癌、炎性及黏膜下病变，逐一说明区别所需证据，不机械列疾病名。</w:t>
      </w:r>
    </w:p>
    <w:p>
      <w:pPr>
        <w:widowControl/>
      </w:pPr>
      <w:r>
        <w:t>13 疾病分型和严重程度：部位、深度与危险病理，R0、低风险/高风险及需追加评估分开。</w:t>
      </w:r>
    </w:p>
    <w:p>
      <w:pPr>
        <w:widowControl/>
      </w:pPr>
      <w:r>
        <w:t>14 相关内镜分级：NICE/JNET等不能给pTNM；不使用胃eCura直接定结直肠治愈。仅使用适用体系和完整变量，数据时间与版本必须明确，未提供不推分。</w:t>
      </w:r>
    </w:p>
    <w:p>
      <w:pPr>
        <w:widowControl/>
      </w:pPr>
      <w:r>
        <w:t>15 临床风险：深浸润淋巴风险、分片残留、穿孔出血和过度外科。</w:t>
      </w:r>
    </w:p>
    <w:p>
      <w:pPr>
        <w:widowControl/>
      </w:pPr>
      <w:r>
        <w:t>16 非内镜治疗原则：基础病抗栓营养及肿瘤综合治疗按MDT，不自动化疗。以下为知识和决策范围，患者实际药物、剂量和执行只能取自原记录。</w:t>
      </w:r>
    </w:p>
    <w:p>
      <w:pPr>
        <w:widowControl/>
      </w:pPr>
      <w:r>
        <w:t>17 内镜检查和治疗适应性：整块病理需求和深浸润疑点决定切除路径；非治愈或无法评价需外科协作。拟行、准备和实际完成分开，侵入性方案由有权限团队确认。</w:t>
      </w:r>
    </w:p>
    <w:p>
      <w:pPr>
        <w:widowControl/>
      </w:pPr>
      <w:r>
        <w:t>18 操作风险：右结肠壁薄、迟发出血穿孔、热损伤及直肠相关风险；麻醉、抗栓和替代方案按05及07个体核对。</w:t>
      </w:r>
    </w:p>
    <w:p>
      <w:pPr>
        <w:widowControl/>
      </w:pPr>
      <w:r>
        <w:t>19 并发症：残留局部复发、迟发出血穿孔及进展风险；不能由风险直接写成已发生。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病例特点：【与早期结直肠肿瘤 EMR ESD及非治愈性切除相关的病史、实查及带日期证据】。</w:t>
      </w:r>
    </w:p>
    <w:p>
      <w:pPr>
        <w:pStyle w:val="Code"/>
        <w:keepLines w:val="0"/>
        <w:widowControl/>
      </w:pPr>
      <w:r>
        <w:t>初步诊断：【本疾病诊断与确定度，合并及待排问题】。</w:t>
      </w:r>
    </w:p>
    <w:p>
      <w:pPr>
        <w:pStyle w:val="Code"/>
        <w:keepLines w:val="0"/>
        <w:widowControl/>
      </w:pPr>
      <w:r>
        <w:t>诊断依据：【支持本例组织学及结直肠特异风险评价，分片或不可评价不能简单判治愈的真实资料及缺口】。</w:t>
      </w:r>
    </w:p>
    <w:p>
      <w:pPr>
        <w:pStyle w:val="Code"/>
        <w:keepLines w:val="0"/>
        <w:widowControl/>
      </w:pPr>
      <w:r>
        <w:t>鉴别诊断：【围绕高级别上皮内瘤变、浸润癌、炎性及黏膜下病变的本例支持反对依据与区分计划】。</w:t>
      </w:r>
    </w:p>
    <w:p>
      <w:pPr>
        <w:pStyle w:val="Code"/>
        <w:keepLines w:val="0"/>
        <w:widowControl/>
      </w:pPr>
      <w:r>
        <w:t>诊疗计划：【医师确认的病因及逐病灶方式与切除标本风险字段评估、治疗和风险监测；已执行另列状态】。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逐病灶方式与切除标本风险字段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逐病灶方式与切除标本风险字段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高级别上皮内瘤变、浸润癌、炎性及黏膜下病变、部位、深度与危险病理，R0、低风险/高风险及需追加评估分开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再次局部治疗或外科及监测取舍，不能仅凭R0排淋巴风险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Paris光学形态、抬举与纤维化记录、实际冷切热切EMR/ESD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右结肠壁薄、迟发出血穿孔、热损伤及直肠相关风险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切除病理类型级别、最深浸润、分化、脉管、切缘、芽生如报告和标本完整性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残留局部复发、迟发出血穿孔及进展风险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出院医嘱：【已确认药物、营养活动、切除质量、病理和原检查质量决定瘢痕及全结肠复评的个体安排及警示症状和追踪责任】。</w:t>
      </w:r>
    </w:p>
    <w:p>
      <w:pPr>
        <w:pStyle w:val="Code"/>
      </w:pPr>
      <w:r>
        <w:t>```</w:t>
      </w:r>
    </w:p>
    <w:p>
      <w:pPr>
        <w:widowControl/>
      </w:pPr>
      <w:r>
        <w:t>31 长期随访：切除质量、病理和原检查质量决定瘢痕及全结肠复评。每项具体时间由医师结合本例确定，不机械给全部患者同一胃肠镜间隔。</w:t>
      </w:r>
    </w:p>
    <w:p>
      <w:pPr>
        <w:widowControl/>
      </w:pPr>
      <w:r>
        <w:t>32 质量控制：活检不能替代切除病理；分片切缘不可评价不补阴性。此外核身份住院、当前时点、内镜实际状态、标本归属、治疗执行和医师意见；未核关键事实阻断对应净稿。</w:t>
      </w:r>
    </w:p>
    <w:p>
      <w:pPr>
        <w:widowControl/>
      </w:pPr>
      <w:r>
        <w:t>33 参考版本和适用章节：R22 中国结直肠息肉冷切2023；R23 胃ESD围期2025及早期胃癌共识2023太原；R24 ESGE结直肠EMR2024补充；R25 中国胃食管癌2024方案及胃癌2022；R20 EUS2021；本卡适用范围为本病的诊断证据、分型和管理原则。核验日期2026-10-26，可访问层级及限制见文末来源。</w:t>
      </w:r>
    </w:p>
    <w:p>
      <w:pPr>
        <w:pStyle w:val="Heading2"/>
      </w:pPr>
      <w:r>
        <w:t>06 消化道上皮下病变及间质瘤相关评估</w:t>
      </w:r>
    </w:p>
    <w:p>
      <w:pPr>
        <w:pStyle w:val="Heading3"/>
      </w:pPr>
      <w:r>
        <w:t>疾病定义 机制及证据采集</w:t>
      </w:r>
    </w:p>
    <w:p>
      <w:pPr>
        <w:widowControl/>
      </w:pPr>
      <w:r>
        <w:t>01 疾病定义：上皮下隆起可来自不同层或外压，间质瘤需相应组织证据及风险评价。</w:t>
      </w:r>
    </w:p>
    <w:p>
      <w:pPr>
        <w:widowControl/>
      </w:pPr>
      <w:r>
        <w:t>02 病因与机制：间叶、神经、脂肪等来源或壁外压迫；仅形态不能定类型。</w:t>
      </w:r>
    </w:p>
    <w:p>
      <w:pPr>
        <w:widowControl/>
      </w:pPr>
      <w:r>
        <w:t>03 临床表现：多无症状，可出血压迫或腹痛。</w:t>
      </w:r>
    </w:p>
    <w:p>
      <w:pPr>
        <w:widowControl/>
      </w:pPr>
      <w:r>
        <w:t>04 病史采集：部位、增长、既往影像EUS取材、出血和合并症；所有症状保留起始、持续、诱因、进食排便关系和真实治疗反应。</w:t>
      </w:r>
    </w:p>
    <w:p>
      <w:pPr>
        <w:widowControl/>
      </w:pPr>
      <w:r>
        <w:t>05 专科查体：营养贫血、腹块及真实相关检查；只写当次实查，不补正常。</w:t>
      </w:r>
    </w:p>
    <w:p>
      <w:pPr>
        <w:widowControl/>
      </w:pPr>
      <w:r>
        <w:t>06 实验室：Hb等按症状；无特异常规肿瘤标志物定GIST，保存时间、单位、参考和可比性。</w:t>
      </w:r>
    </w:p>
    <w:p>
      <w:pPr>
        <w:widowControl/>
      </w:pPr>
      <w:r>
        <w:t>07 影像：CT/MRI评大小位置血管及周围，影像与EUS尺寸各标方法，是否已经实施另行核实。</w:t>
      </w:r>
    </w:p>
    <w:p>
      <w:pPr>
        <w:widowControl/>
      </w:pPr>
      <w:r>
        <w:t>08 消化内镜：EUS起源层、大小回声边界等，普通黏膜活检可能取不到，保留真实范围和受限原因。</w:t>
      </w:r>
    </w:p>
    <w:p>
      <w:pPr>
        <w:widowControl/>
      </w:pPr>
      <w:r>
        <w:t>09 病原与病理：EUS FNA/FNB或切除组织、免疫和分子如实施；核分裂风险需相应标本；取材类型和瓶号与病灶对应。</w:t>
      </w:r>
    </w:p>
    <w:p>
      <w:pPr>
        <w:pStyle w:val="Heading3"/>
      </w:pPr>
      <w:r>
        <w:t>诊断 鉴别 严重度和治疗原则</w:t>
      </w:r>
    </w:p>
    <w:p>
      <w:pPr>
        <w:widowControl/>
      </w:pPr>
      <w:r>
        <w:t>10 诊断标准：组织类型和肿瘤风险需充分病理，EUS考虑GIST不是确诊。</w:t>
      </w:r>
    </w:p>
    <w:p>
      <w:pPr>
        <w:widowControl/>
      </w:pPr>
      <w:r>
        <w:t>11 诊断依据：逐项列本例支持、反对和缺失证据；症状、镜下判断、病理与临床综合诊断分层，不超过原报告确定度。</w:t>
      </w:r>
    </w:p>
    <w:p>
      <w:pPr>
        <w:widowControl/>
      </w:pPr>
      <w:r>
        <w:t>12 鉴别诊断：平滑肌瘤、神经鞘瘤、脂肪瘤、神经内分泌肿瘤与外压，逐一说明区别所需证据，不机械列疾病名。</w:t>
      </w:r>
    </w:p>
    <w:p>
      <w:pPr>
        <w:widowControl/>
      </w:pPr>
      <w:r>
        <w:t>13 疾病分型和严重程度：器官、起源层、症状增长和危险特征，GIST风险不能仅尺寸。</w:t>
      </w:r>
    </w:p>
    <w:p>
      <w:pPr>
        <w:widowControl/>
      </w:pPr>
      <w:r>
        <w:t>14 相关内镜分级：无通用息肉分级适用，起源层不从隆起外观推。仅使用适用体系和完整变量，数据时间与版本必须明确，未提供不推分。</w:t>
      </w:r>
    </w:p>
    <w:p>
      <w:pPr>
        <w:widowControl/>
      </w:pPr>
      <w:r>
        <w:t>15 临床风险：出血、恶性风险、取材不足和全层治疗并发症。</w:t>
      </w:r>
    </w:p>
    <w:p>
      <w:pPr>
        <w:widowControl/>
      </w:pPr>
      <w:r>
        <w:t>16 非内镜治疗原则：监测或肿瘤治疗由专科综合，不能自动给予靶向药。以下为知识和决策范围，患者实际药物、剂量和执行只能取自原记录。</w:t>
      </w:r>
    </w:p>
    <w:p>
      <w:pPr>
        <w:widowControl/>
      </w:pPr>
      <w:r>
        <w:t>17 内镜检查和治疗适应性：取材可能改变管理时评EUS，内镜或外科切除按层次部位风险授权。拟行、准备和实际完成分开，侵入性方案由有权限团队确认。</w:t>
      </w:r>
    </w:p>
    <w:p>
      <w:pPr>
        <w:widowControl/>
      </w:pPr>
      <w:r>
        <w:t>18 操作风险：出血穿孔感染、闭合和壁外损伤及麻醉风险；麻醉、抗栓和替代方案按05及07个体核对。</w:t>
      </w:r>
    </w:p>
    <w:p>
      <w:pPr>
        <w:widowControl/>
      </w:pPr>
      <w:r>
        <w:t>19 并发症：出血、破裂或切除并发症，肿瘤进展须证据；不能由风险直接写成已发生。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病例特点：【与消化道上皮下病变及间质瘤相关评估相关的病史、实查及带日期证据】。</w:t>
      </w:r>
    </w:p>
    <w:p>
      <w:pPr>
        <w:pStyle w:val="Code"/>
        <w:keepLines w:val="0"/>
        <w:widowControl/>
      </w:pPr>
      <w:r>
        <w:t>初步诊断：【本疾病诊断与确定度，合并及待排问题】。</w:t>
      </w:r>
    </w:p>
    <w:p>
      <w:pPr>
        <w:pStyle w:val="Code"/>
        <w:keepLines w:val="0"/>
        <w:widowControl/>
      </w:pPr>
      <w:r>
        <w:t>诊断依据：【支持本例组织类型和肿瘤风险需充分病理，EUS考虑GIST不是确诊的真实资料及缺口】。</w:t>
      </w:r>
    </w:p>
    <w:p>
      <w:pPr>
        <w:pStyle w:val="Code"/>
        <w:keepLines w:val="0"/>
        <w:widowControl/>
      </w:pPr>
      <w:r>
        <w:t>鉴别诊断：【围绕平滑肌瘤、神经鞘瘤、脂肪瘤、神经内分泌肿瘤与外压的本例支持反对依据与区分计划】。</w:t>
      </w:r>
    </w:p>
    <w:p>
      <w:pPr>
        <w:pStyle w:val="Code"/>
        <w:keepLines w:val="0"/>
        <w:widowControl/>
      </w:pPr>
      <w:r>
        <w:t>诊疗计划：【医师确认的病因及EUS层次、真实增长和病理可用性评估、治疗和风险监测；已执行另列状态】。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EUS层次、真实增长和病理可用性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EUS层次、真实增长和病理可用性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平滑肌瘤、神经鞘瘤、脂肪瘤、神经内分泌肿瘤与外压、器官、起源层、症状增长和危险特征，GIST风险不能仅尺寸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观察、取材、内镜与外科切除之间的获益风险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EUS起源层、大小回声边界等，普通黏膜活检可能取不到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出血穿孔感染、闭合和壁外损伤及麻醉风险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【事件及病灶】的【取材类型和标本号】于【回报时点】回报【原病理关键结论】，与本例EUS FNA/FNB或切除组织、免疫和分子如实施；核分裂风险需相应标本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出血、破裂或切除并发症，肿瘤进展须证据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出院医嘱：【已确认药物、营养活动、大小演变、危险特征及组织风险，个体时间和责任的个体安排及警示症状和追踪责任】。</w:t>
      </w:r>
    </w:p>
    <w:p>
      <w:pPr>
        <w:pStyle w:val="Code"/>
      </w:pPr>
      <w:r>
        <w:t>```</w:t>
      </w:r>
    </w:p>
    <w:p>
      <w:pPr>
        <w:widowControl/>
      </w:pPr>
      <w:r>
        <w:t>31 长期随访：大小演变、危险特征及组织风险，个体时间和责任。每项具体时间由医师结合本例确定，不机械给全部患者同一胃肠镜间隔。</w:t>
      </w:r>
    </w:p>
    <w:p>
      <w:pPr>
        <w:widowControl/>
      </w:pPr>
      <w:r>
        <w:t>32 质量控制：上皮下病变不等GIST，免疫未回不能编亚型与危险度。此外核身份住院、当前时点、内镜实际状态、标本归属、治疗执行和医师意见；未核关键事实阻断对应净稿。</w:t>
      </w:r>
    </w:p>
    <w:p>
      <w:pPr>
        <w:widowControl/>
      </w:pPr>
      <w:r>
        <w:t>33 参考版本和适用章节：R22 中国结直肠息肉冷切2023；R23 胃ESD围期2025及早期胃癌共识2023太原；R24 ESGE结直肠EMR2024补充；R25 中国胃食管癌2024方案及胃癌2022；R20 EUS2021；本卡适用范围为本病的诊断证据、分型和管理原则。核验日期2026-10-26，可访问层级及限制见文末来源。</w:t>
      </w:r>
    </w:p>
    <w:p>
      <w:bookmarkStart w:id="4" w:name="s4"/>
      <w:pPr>
        <w:pStyle w:val="Heading1"/>
      </w:pPr>
      <w:r>
        <w:t>补充病种与交叉调用</w:t>
      </w:r>
      <w:bookmarkEnd w:id="4"/>
    </w:p>
    <w:p>
      <w:pPr>
        <w:widowControl/>
      </w:pPr>
      <w:r>
        <w:t>EMR与ESD病程联05，病理分析联04，迟发出血穿孔联06与107。多发息肉每个lesion_id独立维护位置大小、是否活检/切除、方式和specimen_id；一瓶多灶仅归属于病灶集合，不能把一个高级别结果发给指定息肉。多次切除新建procedure_id，旧活检不能替代新切除标本。非治愈性、无法评价和明确残留不同；病理缺项先复核，不能一律归非治愈，也不能默认为治愈。</w:t>
      </w:r>
    </w:p>
    <w:p>
      <w:bookmarkStart w:id="5" w:name="s5"/>
      <w:pPr>
        <w:pStyle w:val="Heading1"/>
      </w:pPr>
      <w:r>
        <w:t>虚构病例与完整应用示例</w:t>
      </w:r>
      <w:bookmarkEnd w:id="5"/>
    </w:p>
    <w:p>
      <w:pPr>
        <w:widowControl/>
      </w:pPr>
      <w:r>
        <w:t>虚构SIM-108/E01：L1胃角病灶10月25日ESD整块，10月26日切除病理为高分化腺癌、黏膜内、HM/VM阴性，LVI和溃疡资料未提供。虽已有R0相关切缘证据，尚不能完整治愈性评价。</w:t>
      </w:r>
    </w:p>
    <w:p>
      <w:pPr>
        <w:widowControl/>
      </w:pPr>
      <w:r>
        <w:t>2026年10月26日 15:00 病理回报记录</w:t>
      </w:r>
    </w:p>
    <w:p>
      <w:pPr>
        <w:pStyle w:val="Code"/>
      </w:pPr>
      <w:r>
        <w:t>```text</w:t>
      </w:r>
    </w:p>
    <w:p>
      <w:pPr>
        <w:pStyle w:val="Code"/>
        <w:keepLines w:val="0"/>
        <w:widowControl/>
      </w:pPr>
      <w:r>
        <w:t>胃角病灶ESD切除标本病理回报为高分化腺癌，浸润位于黏膜内，水平及垂直切缘阴性。当前可据对应标本修正为胃腺癌，并记录已提供的深度和切缘结果；但现有资料未包含完整的淋巴血管侵犯及溃疡等评价，尚不能直接判定治愈性切除，需复核完整病理和相应胃部评价条件后确定后续方案。</w:t>
      </w:r>
    </w:p>
    <w:p>
      <w:pPr>
        <w:pStyle w:val="Code"/>
      </w:pPr>
      <w:r>
        <w:t>```</w:t>
      </w:r>
    </w:p>
    <w:p>
      <w:bookmarkStart w:id="6" w:name="s6"/>
      <w:pPr>
        <w:pStyle w:val="Heading1"/>
      </w:pPr>
      <w:r>
        <w:t>事实限制 常见错误及质控</w:t>
      </w:r>
      <w:bookmarkEnd w:id="6"/>
    </w:p>
    <w:p>
      <w:pPr>
        <w:widowControl/>
      </w:pPr>
      <w:r>
        <w:t>患者真实资料高于通用模板和医学知识。每条事实绑定patient_id、encounter_id、来源、event_time和available_time；未提供、未做、阴性、阳性和冲突分开。不得编造当日查体、生命体征、检查数值、内镜到达部位、病灶数量大小、活检、器械、夹数、麻醉、治疗执行、病理、分期、会诊、知情沟通或医师意见。历史资料明确日期；当日症状与查体不从昨日自动继承。正式意见由实际责任医师审核签署。</w:t>
      </w:r>
    </w:p>
    <w:p>
      <w:pPr>
        <w:widowControl/>
      </w:pPr>
      <w:r>
        <w:t>逐病灶及瓶号核对；技术完成、整块、R0和治愈性四层独立；器官特异标准不得跨用；待回或缺项不推深度切缘分期。</w:t>
      </w:r>
    </w:p>
    <w:p>
      <w:pPr>
        <w:widowControl/>
      </w:pPr>
      <w:r>
        <w:t>不得将模板建议改写成已执行处置。症状减轻不等于黏膜愈合，技术完成不等于病理治愈，未记录并发症不等于已经排除。</w:t>
      </w:r>
    </w:p>
    <w:p>
      <w:bookmarkStart w:id="7" w:name="s7"/>
      <w:pPr>
        <w:pStyle w:val="Heading1"/>
      </w:pPr>
      <w:r>
        <w:t>协同与维护</w:t>
      </w:r>
      <w:bookmarkEnd w:id="7"/>
    </w:p>
    <w:p>
      <w:pPr>
        <w:widowControl/>
      </w:pPr>
      <w:r>
        <w:t>00为唯一入口，01最高规则，11管理身份和事件，02—09提供任务功能，101—108补充对应疾病知识，10输出前终审。只读取本任务所需模块，冲突按01处理，不重复拼接正文。季度复核指南版本，新增指南、药物说明书或院内流程变化时由消化、内镜、麻醉、病理与病案质控人员按职责修订；保留修订人、日期、原因、受影响条款和回归用例。</w:t>
      </w:r>
    </w:p>
    <w:p>
      <w:bookmarkStart w:id="8" w:name="s8"/>
      <w:pPr>
        <w:pStyle w:val="Heading1"/>
      </w:pPr>
      <w:r>
        <w:t>指南版本和适用章节</w:t>
      </w:r>
      <w:bookmarkEnd w:id="8"/>
    </w:p>
    <w:p>
      <w:pPr>
        <w:widowControl/>
      </w:pPr>
      <w:r>
        <w:t>核验基准日2026-10-26。来源编号及准确名称、发布机构、年份、可访问层级与链接见本章记录。书目或摘要不能代替全文推荐；未核原文的精确阈值、剂量、证据等级和固定复查间隔不成为自动生成规则。国际文献仅补充适用的定义和方法，须结合中国规范及院内授权。</w:t>
      </w:r>
    </w:p>
    <w:p>
      <w:pPr>
        <w:widowControl/>
      </w:pPr>
      <w:r>
        <w:t>R22 中国结直肠息肉冷切2023；R23 胃ESD围期2025及早期胃癌共识2023太原；R24 ESGE结直肠EMR2024补充；R25 中国胃食管癌2024方案及胃癌2022；R20 EUS2021</w:t>
      </w:r>
    </w:p>
    <w:p>
      <w:bookmarkStart w:id="9" w:name="s9"/>
      <w:pPr>
        <w:pStyle w:val="Heading1"/>
      </w:pPr>
      <w:r>
        <w:t>逐条来源核验登记</w:t>
      </w:r>
      <w:bookmarkEnd w:id="9"/>
    </w:p>
    <w:p>
      <w:pPr>
        <w:pStyle w:val="Heading2"/>
      </w:pPr>
      <w:r>
        <w:t>R20 中国内镜超声引导下细针穿刺抽吸 活体组织检查术应用指南 精简版 2021年 上海</w:t>
      </w:r>
    </w:p>
    <w:p>
      <w:pPr>
        <w:widowControl/>
      </w:pPr>
      <w:r>
        <w:t>发布机构：中国医师协会超声内镜专家委员会。版本年份：2021。核验日期：2026-10-26。</w:t>
      </w:r>
    </w:p>
    <w:p>
      <w:pPr>
        <w:widowControl/>
      </w:pPr>
      <w:r>
        <w:t>实际核验层级：承办学会原始指南精简版正文已访问；旧抗栓条款与现行适用来源需并列权衡。</w:t>
      </w:r>
    </w:p>
    <w:p>
      <w:pPr>
        <w:widowControl/>
      </w:pPr>
      <w:r>
        <w:t>适用章节：04 05及106 EUS取材适应性 标本和阴性局限。</w:t>
      </w:r>
    </w:p>
    <w:p>
      <w:pPr>
        <w:widowControl/>
      </w:pPr>
      <w:r>
        <w:t>来源：https://www.shsma.org.cn/web/weixin/13209</w:t>
      </w:r>
    </w:p>
    <w:p>
      <w:pPr>
        <w:widowControl/>
      </w:pPr>
      <w:r>
        <w:t>DOI：10.3760/cma.j.cn311367-20210514-00280</w:t>
      </w:r>
    </w:p>
    <w:p>
      <w:pPr>
        <w:pStyle w:val="Heading2"/>
      </w:pPr>
      <w:r>
        <w:t>R22 中国结直肠息肉冷切专家共识 2023年 杭州</w:t>
      </w:r>
    </w:p>
    <w:p>
      <w:pPr>
        <w:widowControl/>
      </w:pPr>
      <w:r>
        <w:t>发布机构：中华医学会消化内镜学分会。版本年份：2023。核验日期：2026-10-26。</w:t>
      </w:r>
    </w:p>
    <w:p>
      <w:pPr>
        <w:widowControl/>
      </w:pPr>
      <w:r>
        <w:t>实际核验层级：原刊题录和正文页面可访问。</w:t>
      </w:r>
    </w:p>
    <w:p>
      <w:pPr>
        <w:widowControl/>
      </w:pPr>
      <w:r>
        <w:t>适用章节：05及108冷切与其他方式分开 切除和病理评价。</w:t>
      </w:r>
    </w:p>
    <w:p>
      <w:pPr>
        <w:widowControl/>
      </w:pPr>
      <w:r>
        <w:t>来源：https://zhwcnjdzzz.cma-cmc.com.cn/CN/10.3877/cma.j.issn.2095-7157.2023.02.001</w:t>
      </w:r>
    </w:p>
    <w:p>
      <w:pPr>
        <w:widowControl/>
      </w:pPr>
      <w:r>
        <w:t>DOI：10.3877/cma.j.issn.2095-7157.2023.02.001</w:t>
      </w:r>
    </w:p>
    <w:p>
      <w:pPr>
        <w:pStyle w:val="Heading2"/>
      </w:pPr>
      <w:r>
        <w:t>R23 胃内镜黏膜下剥离术围手术期指南 2025版 及中国早期胃癌内镜诊治共识 2023 太原</w:t>
      </w:r>
    </w:p>
    <w:p>
      <w:pPr>
        <w:widowControl/>
      </w:pPr>
      <w:r>
        <w:t>发布机构：胃ESD 国家消化系统疾病临床医学研究中心 中华医学会消化内镜学分会 中国医师协会消化医师分会；早胃癌 中华医学会消化内镜学分会。版本年份：2025及2023版。核验日期：2026-10-26。</w:t>
      </w:r>
    </w:p>
    <w:p>
      <w:pPr>
        <w:widowControl/>
      </w:pPr>
      <w:r>
        <w:t>实际核验层级：2025原刊PDF链接获取失败，题录信息待原刊全文进一步核；2023太原原始文献SinoMed记录可核 https://www.sinomed.ac.cn/article.do?ui=2024383721 。不把解读或2017旧文当2025原文。</w:t>
      </w:r>
    </w:p>
    <w:p>
      <w:pPr>
        <w:widowControl/>
      </w:pPr>
      <w:r>
        <w:t>适用章节：05及108胃ESD围期资料要求与病理治愈性边界；不固化未核精确阈值。</w:t>
      </w:r>
    </w:p>
    <w:p>
      <w:pPr>
        <w:widowControl/>
      </w:pPr>
      <w:r>
        <w:t>来源：https://doi.org/10.3760/cma.j.cn321463-20250110-00017</w:t>
      </w:r>
    </w:p>
    <w:p>
      <w:pPr>
        <w:widowControl/>
      </w:pPr>
      <w:r>
        <w:t>DOI：2025 10.3760/cma.j.cn321463-20250110-00017</w:t>
      </w:r>
    </w:p>
    <w:p>
      <w:pPr>
        <w:pStyle w:val="Heading2"/>
      </w:pPr>
      <w:r>
        <w:t>R24 Colorectal polypectomy and endoscopic mucosal resection ESGE Guideline Update 2024</w:t>
      </w:r>
    </w:p>
    <w:p>
      <w:pPr>
        <w:widowControl/>
      </w:pPr>
      <w:r>
        <w:t>发布机构：ESGE。版本年份：2024。核验日期：2026-10-26。</w:t>
      </w:r>
    </w:p>
    <w:p>
      <w:pPr>
        <w:widowControl/>
      </w:pPr>
      <w:r>
        <w:t>实际核验层级：原始指南摘要和学会原始PDF https://www.esge.com/assets/downloads/pdfs/guidelines/2024_a-2304-3219.pdf 可查；国际补充。</w:t>
      </w:r>
    </w:p>
    <w:p>
      <w:pPr>
        <w:widowControl/>
      </w:pPr>
      <w:r>
        <w:t>适用章节：05及108结直肠切除方式和病理复评边界。</w:t>
      </w:r>
    </w:p>
    <w:p>
      <w:pPr>
        <w:widowControl/>
      </w:pPr>
      <w:r>
        <w:t>来源：https://pubmed.ncbi.nlm.nih.gov/38670139/</w:t>
      </w:r>
    </w:p>
    <w:p>
      <w:pPr>
        <w:pStyle w:val="Heading2"/>
      </w:pPr>
      <w:r>
        <w:t>R25 食管癌筛查与早诊早治方案 胃癌筛查与早诊早治方案 2024年版；胃癌诊疗指南2022年版</w:t>
      </w:r>
    </w:p>
    <w:p>
      <w:pPr>
        <w:widowControl/>
      </w:pPr>
      <w:r>
        <w:t>发布机构：国家卫生健康委办公厅；胃癌2022国家卫生健康委医政医管局。版本年份：2024及2022。核验日期：2026-10-26。</w:t>
      </w:r>
    </w:p>
    <w:p>
      <w:pPr>
        <w:widowControl/>
      </w:pPr>
      <w:r>
        <w:t>实际核验层级：2024官方方案正文；2022胃癌原刊记录 https://rs.yiigle.com/cmaid/1428599 。不是全消化肿瘤TNM通用更新。</w:t>
      </w:r>
    </w:p>
    <w:p>
      <w:pPr>
        <w:widowControl/>
      </w:pPr>
      <w:r>
        <w:t>适用章节：101 102 108癌前 早癌及病理分期所需字段；体系版本须另核。</w:t>
      </w:r>
    </w:p>
    <w:p>
      <w:pPr>
        <w:widowControl/>
      </w:pPr>
      <w:r>
        <w:t>来源：https://www.nhc.gov.cn/ylyjs/gzdt/202406/2bb28e7a39ce4734bee4e31ff5442e0f.shtml</w:t>
      </w:r>
    </w:p>
    <w:p>
      <w:pPr>
        <w:pStyle w:val="Heading2"/>
      </w:pPr>
      <w:r>
        <w:t>R35 胃和十二指肠息肉诊断与治疗专家共识</w:t>
      </w:r>
    </w:p>
    <w:p>
      <w:pPr>
        <w:widowControl/>
      </w:pPr>
      <w:r>
        <w:t>发布机构：中华消化内镜杂志原文作者组，完整发布组织待原刊核。版本年份：2026发表线索。核验日期：2026-10-26。</w:t>
      </w:r>
    </w:p>
    <w:p>
      <w:pPr>
        <w:widowControl/>
      </w:pPr>
      <w:r>
        <w:t>实际核验层级：原刊摘要和题名可核，完整组织和年份细节待原文；仅登记更新，不据此写固定方案。</w:t>
      </w:r>
    </w:p>
    <w:p>
      <w:pPr>
        <w:widowControl/>
      </w:pPr>
      <w:r>
        <w:t>适用章节：108胃十二指肠息肉的后续维护。</w:t>
      </w:r>
    </w:p>
    <w:p>
      <w:pPr>
        <w:widowControl/>
      </w:pPr>
      <w:r>
        <w:t>来源：https://rs.yiigle.com/cmaid/1695921</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108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iragino Sans GB" w:hAnsi="Hiragino Sans GB" w:eastAsia="Hiragino Sans GB" w:cs="Hiragino Sans GB"/>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00"/>
    </w:pPr>
    <w:rPr>
      <w:rFonts w:ascii="Hiragino Sans GB" w:hAnsi="Hiragino Sans GB" w:eastAsia="Hiragino Sans GB" w:cs="Hiragino Sans GB"/>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Hiragino Sans GB" w:hAnsi="Hiragino Sans GB" w:eastAsia="Hiragino Sans GB" w:cs="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Hiragino Sans GB" w:hAnsi="Hiragino Sans GB" w:eastAsia="Hiragino Sans GB" w:cs="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Hiragino Sans GB" w:hAnsi="Hiragino Sans GB" w:eastAsia="Hiragino Sans GB" w:cs="Hiragino Sans GB"/>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Hiragino Sans GB" w:hAnsi="Hiragino Sans GB" w:eastAsia="Hiragino Sans GB" w:cs="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Hiragino Sans GB" w:hAnsi="Hiragino Sans GB" w:eastAsia="Hiragino Sans GB" w:cs="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Hiragino Sans GB" w:hAnsi="Hiragino Sans GB" w:eastAsia="Hiragino Sans GB" w:cs="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Hiragino Sans GB" w:hAnsi="Hiragino Sans GB" w:eastAsia="Hiragino Sans GB" w:cs="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Hiragino Sans GB" w:hAnsi="Hiragino Sans GB" w:eastAsia="Hiragino Sans GB" w:cs="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Hiragino Sans GB" w:hAnsi="Hiragino Sans GB" w:eastAsia="Hiragino Sans GB" w:cs="Hiragino Sans GB"/>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Hiragino Sans GB" w:hAnsi="Hiragino Sans GB" w:eastAsia="Hiragino Sans GB" w:cs="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Hiragino Sans GB" w:hAnsi="Hiragino Sans GB" w:eastAsia="Hiragino Sans GB" w:cs="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Hiragino Sans GB" w:hAnsi="Hiragino Sans GB" w:eastAsia="Hiragino Sans GB" w:cs="Hiragino Sans GB"/>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Hiragino Sans GB" w:hAnsi="Hiragino Sans GB" w:eastAsia="Hiragino Sans GB" w:cs="Hiragino Sans GB"/>
      <w:color w:val="000000"/>
      <w:spacing w:val="5"/>
      <w:kern w:val="28"/>
      <w:sz w:val="44"/>
      <w:szCs w:val="52"/>
    </w:rPr>
  </w:style>
  <w:style w:type="character" w:customStyle="1" w:styleId="TitleChar">
    <w:name w:val="Title Char"/>
    <w:basedOn w:val="DefaultParagraphFont"/>
    <w:link w:val="Title"/>
    <w:uiPriority w:val="10"/>
    <w:rsid w:val="00FC693F"/>
    <w:rPr>
      <w:rFonts w:ascii="Hiragino Sans GB" w:hAnsi="Hiragino Sans GB" w:eastAsia="Hiragino Sans GB" w:cs="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20"/>
    </w:pPr>
    <w:rPr>
      <w:rFonts w:ascii="Hiragino Sans GB" w:hAnsi="Hiragino Sans GB" w:eastAsia="Hiragino Sans GB" w:cs="Hiragino Sans GB"/>
      <w:i w:val="0"/>
      <w:iCs/>
      <w:color w:val="000000"/>
      <w:spacing w:val="15"/>
      <w:sz w:val="22"/>
      <w:szCs w:val="24"/>
    </w:rPr>
  </w:style>
  <w:style w:type="character" w:customStyle="1" w:styleId="SubtitleChar">
    <w:name w:val="Subtitle Char"/>
    <w:basedOn w:val="DefaultParagraphFont"/>
    <w:link w:val="Subtitle"/>
    <w:uiPriority w:val="11"/>
    <w:rsid w:val="00FC693F"/>
    <w:rPr>
      <w:rFonts w:ascii="Hiragino Sans GB" w:hAnsi="Hiragino Sans GB" w:eastAsia="Hiragino Sans GB" w:cs="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Hiragino Sans GB" w:hAnsi="Hiragino Sans GB" w:eastAsia="Hiragino Sans GB" w:cs="Hiragino Sans GB"/>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GB" w:hAnsi="Hiragino Sans GB" w:eastAsia="Hiragino Sans GB" w:cs="Hiragino Sans GB"/>
      <w:sz w:val="20"/>
      <w:szCs w:val="20"/>
    </w:rPr>
  </w:style>
  <w:style w:type="character" w:customStyle="1" w:styleId="MacroTextChar">
    <w:name w:val="Macro Text Char"/>
    <w:basedOn w:val="DefaultParagraphFont"/>
    <w:link w:val="MacroText"/>
    <w:uiPriority w:val="99"/>
    <w:rsid w:val="0029639D"/>
    <w:rPr>
      <w:rFonts w:ascii="Hiragino Sans GB" w:hAnsi="Hiragino Sans GB" w:eastAsia="Hiragino Sans GB" w:cs="Hiragino Sans GB"/>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Hiragino Sans GB" w:hAnsi="Hiragino Sans GB" w:eastAsia="Hiragino Sans GB" w:cs="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Hiragino Sans GB" w:hAnsi="Hiragino Sans GB" w:eastAsia="Hiragino Sans GB" w:cs="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Hiragino Sans GB" w:hAnsi="Hiragino Sans GB" w:eastAsia="Hiragino Sans GB" w:cs="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Hiragino Sans GB" w:hAnsi="Hiragino Sans GB" w:eastAsia="Hiragino Sans GB" w:cs="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Hiragino Sans GB" w:hAnsi="Hiragino Sans GB" w:eastAsia="Hiragino Sans GB" w:cs="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Hiragino Sans GB" w:hAnsi="Hiragino Sans GB" w:eastAsia="Hiragino Sans GB" w:cs="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81" w:lineRule="auto" w:after="40"/>
    </w:pPr>
    <w:rPr>
      <w:rFonts w:ascii="Hiragino Sans GB" w:hAnsi="Hiragino Sans GB" w:eastAsia="Hiragino Sans GB" w:cs="Hiragino Sans GB"/>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108 消化道息肉癌前病变早期肿瘤及内镜切除专病模板库</dc:title>
  <dc:subject>消化内科含胃肠镜AI病历书写系统V1.0</dc:subject>
  <dc:creator>病历模板库</dc:creator>
  <cp:keywords>消化内科 胃肠镜 医学文书 真实性 质控</cp:keywords>
  <dc:description>generated by python-docx</dc:description>
  <cp:lastModifiedBy/>
  <cp:revision>1</cp:revision>
  <dcterms:created xsi:type="dcterms:W3CDTF">2013-12-23T23:15:00Z</dcterms:created>
  <dcterms:modified xsi:type="dcterms:W3CDTF">2013-12-23T23:15:00Z</dcterms:modified>
  <cp:category/>
</cp:coreProperties>
</file>