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消化内科AI自动调用路由与病例状态管理规则库</w:t>
      </w:r>
    </w:p>
    <w:p>
      <w:pPr>
        <w:pStyle w:val="Subtitle"/>
      </w:pPr>
      <w:r>
        <w:t>消化内科含胃肠镜AI病历书写系统 V1.0</w:t>
      </w:r>
    </w:p>
    <w:p>
      <w:r>
        <w:t>模块编号 11　版本 V1.0　所属层级 第二级 通用医学文书功能层</w:t>
      </w:r>
    </w:p>
    <w:p>
      <w:r>
        <w:t>建设及资料核验日期 2026年10月26日</w:t>
      </w:r>
    </w:p>
    <w:p>
      <w:r>
        <w:t>功能定位 患者 住院 内镜 病灶 标本状态及最小路由</w:t>
      </w:r>
    </w:p>
    <w:p>
      <w:r>
        <w:t>适用范围 中国医院消化内科病房 消化内镜中心及相关协作诊疗的医师文书辅助</w:t>
      </w:r>
    </w:p>
    <w:p>
      <w:r>
        <w:t>本文件提供拟稿、证据整理和质控规则。临床诊疗、内镜操作、麻醉、处方、知情同意及签名由具备权限的医务人员实施。</w:t>
      </w:r>
    </w:p>
    <w:p>
      <w:r>
        <w:br w:type="page"/>
      </w:r>
    </w:p>
    <w:p>
      <w:pPr>
        <w:pStyle w:val="Heading1"/>
      </w:pPr>
      <w:r>
        <w:t>目录</w:t>
      </w:r>
    </w:p>
    <w:p>
      <w:hyperlink w:anchor="s1">
        <w:r>
          <w:t>01  调度中心与输入契约</w:t>
        </w:r>
      </w:hyperlink>
    </w:p>
    <w:p>
      <w:hyperlink w:anchor="s2">
        <w:r>
          <w:t>02  患者级和事实级结构</w:t>
        </w:r>
      </w:hyperlink>
    </w:p>
    <w:p>
      <w:hyperlink w:anchor="s3">
        <w:r>
          <w:t>03  内镜事件并行状态模型</w:t>
        </w:r>
      </w:hyperlink>
    </w:p>
    <w:p>
      <w:hyperlink w:anchor="s4">
        <w:r>
          <w:t>04  病灶 标本和病理对应模型</w:t>
        </w:r>
      </w:hyperlink>
    </w:p>
    <w:p>
      <w:hyperlink w:anchor="s5">
        <w:r>
          <w:t>05  治疗 装置和并发症事件</w:t>
        </w:r>
      </w:hyperlink>
    </w:p>
    <w:p>
      <w:hyperlink w:anchor="s6">
        <w:r>
          <w:t>06  时点可用性与日期算法</w:t>
        </w:r>
      </w:hyperlink>
    </w:p>
    <w:p>
      <w:hyperlink w:anchor="s7">
        <w:r>
          <w:t>07  自然语言路由规则</w:t>
        </w:r>
      </w:hyperlink>
    </w:p>
    <w:p>
      <w:hyperlink w:anchor="s8">
        <w:r>
          <w:t>08  输出协议及可携带状态摘要</w:t>
        </w:r>
      </w:hyperlink>
    </w:p>
    <w:p>
      <w:hyperlink w:anchor="s9">
        <w:r>
          <w:t>09  多病灶多次内镜虚构实例</w:t>
        </w:r>
      </w:hyperlink>
    </w:p>
    <w:p>
      <w:hyperlink w:anchor="s10">
        <w:r>
          <w:t>10  病理待回的强制前置核验</w:t>
        </w:r>
      </w:hyperlink>
    </w:p>
    <w:p>
      <w:hyperlink w:anchor="s11">
        <w:r>
          <w:t>11  事实限制 常见错误及质控</w:t>
        </w:r>
      </w:hyperlink>
    </w:p>
    <w:p>
      <w:hyperlink w:anchor="s12">
        <w:r>
          <w:t>12  协同与维护</w:t>
        </w:r>
      </w:hyperlink>
    </w:p>
    <w:p>
      <w:hyperlink w:anchor="s13">
        <w:r>
          <w:t>13  指南版本和适用章节</w:t>
        </w:r>
      </w:hyperlink>
    </w:p>
    <w:p>
      <w:hyperlink w:anchor="s14">
        <w:r>
          <w:t>14  逐条来源核验登记</w:t>
        </w:r>
      </w:hyperlink>
    </w:p>
    <w:p/>
    <w:p>
      <w:bookmarkStart w:id="1" w:name="s1"/>
      <w:pPr>
        <w:pStyle w:val="Heading1"/>
      </w:pPr>
      <w:r>
        <w:t>调度中心与输入契约</w:t>
      </w:r>
      <w:bookmarkEnd w:id="1"/>
    </w:p>
    <w:p>
      <w:pPr>
        <w:widowControl/>
      </w:pPr>
      <w:r>
        <w:t>任何新增患者、跨日、新报告、多次内镜、病理回报、药物变更、查房、出院和纠正均触发。本模块需要任务、患者双标识、encounter_id、record_time、原文来源与已知事件；输出本次可用事实快照、需核实冲突、最小模块集合和拟稿阶段。状态由运行中的AI或经授权宿主保存，Word不自动建立可靠数据库，跨会话必须重新提供脱敏状态摘要与原始证据。</w:t>
      </w:r>
    </w:p>
    <w:p>
      <w:bookmarkStart w:id="2" w:name="s2"/>
      <w:pPr>
        <w:pStyle w:val="Heading1"/>
      </w:pPr>
      <w:r>
        <w:t>患者级和事实级结构</w:t>
      </w:r>
      <w:bookmarkEnd w:id="2"/>
    </w:p>
    <w:p>
      <w:pPr>
        <w:widowControl/>
      </w:pPr>
      <w:r>
        <w:t>患者：patient_id、第二标识、住院次数、encounter_id、admission_time、record_time、时区、主要/合并/待排诊断、过敏史与来源。</w:t>
      </w:r>
    </w:p>
    <w:p>
      <w:pPr>
        <w:widowControl/>
      </w:pPr>
      <w:r>
        <w:t>事实包装：fact_id、value、unit、reference_range、patient_id、encounter_id、source_id、source_type、event_time、sample_time、report_time、available_time、recorded_at、verification_status、supersedes。原文另存raw_text，OCR或手工更正不得静默替换原文。</w:t>
      </w:r>
    </w:p>
    <w:p>
      <w:pPr>
        <w:widowControl/>
      </w:pPr>
      <w:r>
        <w:t>verification_status：confirmed已核实、pending待核实、conflict冲突、unknown未知；clinical_status：positive、negative、not_examined、not_done、not_applicable分别表示真实阳性/阴性/未查/未做/不适用，不能把unknown编码为0。</w:t>
      </w:r>
    </w:p>
    <w:p>
      <w:pPr>
        <w:widowControl/>
      </w:pPr>
      <w:r>
        <w:t>症状按时点存腹痛、腹胀、恶心、呕吐、呕血、黑便、便血、腹泻、便秘、黄疸、体重与饮食。检查含血常规、凝血、肝肾、炎症酶学、病原学、影像、胃镜、肠镜、EUS和ERCP；每个报告有study_id，不从历史报告推断今日状态。</w:t>
      </w:r>
    </w:p>
    <w:p>
      <w:bookmarkStart w:id="3" w:name="s3"/>
      <w:pPr>
        <w:pStyle w:val="Heading1"/>
      </w:pPr>
      <w:r>
        <w:t>内镜事件并行状态模型</w:t>
      </w:r>
      <w:bookmarkEnd w:id="3"/>
    </w:p>
    <w:p>
      <w:pPr>
        <w:widowControl/>
      </w:pPr>
      <w:r>
        <w:t>每次事件procedure_id链接study_id，记录检查类型、目的、拟定/实际名称、解剖范围、登记日、开始结束时间、操作者、麻醉记录关联、完成证据、延期取消原因、术后观察和并发症状态。</w:t>
      </w:r>
    </w:p>
    <w:p>
      <w:pPr>
        <w:widowControl/>
      </w:pPr>
      <w:r>
        <w:t>workflow_status允许未申请→已申请→已预约→准备中→已开始→已完成；已申请/预约/准备可转延期或取消；延期后需新预约证据。实际完成可为未完成检查并说明原因，不能只存“完成”布尔值。</w:t>
      </w:r>
    </w:p>
    <w:p>
      <w:pPr>
        <w:widowControl/>
      </w:pPr>
      <w:r>
        <w:t>diagnostic_status：未检查、部分检查、检查已完成；biopsy_status：未计划、拟活检、已活检、未实施；therapy_status：未计划、拟治疗、已治疗、部分治疗、未治疗；pathology_status：未取材、已取材未确认送检、送检待回、部分回报、正式回报、更正回报。不同轴并行，病理回报不自动把治疗改成完成。</w:t>
      </w:r>
    </w:p>
    <w:p>
      <w:pPr>
        <w:widowControl/>
      </w:pPr>
      <w:r>
        <w:t>“拟再次内镜”是新procedure_id的计划，不覆盖首次；“已再次内镜”须第二次操作证据。活检完成不等于病变切除，ERCP完成不等于取石，EUS完成不等于穿刺，检查到达部位须原报告明确。</w:t>
      </w:r>
    </w:p>
    <w:p>
      <w:bookmarkStart w:id="4" w:name="s4"/>
      <w:pPr>
        <w:pStyle w:val="Heading1"/>
      </w:pPr>
      <w:r>
        <w:t>病灶 标本和病理对应模型</w:t>
      </w:r>
      <w:bookmarkEnd w:id="4"/>
    </w:p>
    <w:p>
      <w:pPr>
        <w:widowControl/>
      </w:pPr>
      <w:r>
        <w:t>lesion_id至少包括患者、住院、study_id、procedure_id、解剖部位、位置原文、大小单位、数量或独立编号、内镜形态、活检与切除状态、实际方式、残留评估、标本关联和诊断状态。位置缺失不能凭瓶号数字推定。</w:t>
      </w:r>
    </w:p>
    <w:p>
      <w:pPr>
        <w:widowControl/>
      </w:pPr>
      <w:r>
        <w:t>specimen_id包括送检单号、瓶号、取材时点、来源病灶列表、取材类型、是否混瓶、回收状态、病理号、回报版本、报告原文、报告时间和available_time。映射键为patient_id＋procedure_id＋lesion_id＋specimen_id，瓶号1在不同检查重复使用不能合并。</w:t>
      </w:r>
    </w:p>
    <w:p>
      <w:pPr>
        <w:widowControl/>
      </w:pPr>
      <w:r>
        <w:t>一瓶多灶只能映射到病灶集合，标“无法逐病灶归属”；不得将该瓶癌变结果分配给某个具体息肉，也不能给每个息肉都判癌。标本未回收不能写病理待回。病理未注明切缘不补阴性，碎片标本无法评价切缘时保留不可评价。</w:t>
      </w:r>
    </w:p>
    <w:p>
      <w:bookmarkStart w:id="5" w:name="s5"/>
      <w:pPr>
        <w:pStyle w:val="Heading1"/>
      </w:pPr>
      <w:r>
        <w:t>治疗 装置和并发症事件</w:t>
      </w:r>
      <w:bookmarkEnd w:id="5"/>
    </w:p>
    <w:p>
      <w:pPr>
        <w:widowControl/>
      </w:pPr>
      <w:r>
        <w:t>药物按drug_event_id区分建议、医师确认、开立、实际给药、暂停、调整和停用，保留药名剂量途径频次、适应证、末次实际服药、恢复决定与执行、肝肾功能和不良反应。抗栓风险、内镜风险及会诊决定单列。重新启用建立新执行事件。</w:t>
      </w:r>
    </w:p>
    <w:p>
      <w:pPr>
        <w:widowControl/>
      </w:pPr>
      <w:r>
        <w:t>胆胰支架与引流按device_id记录部位、类别、型号仅原文、置入更换拔除、通畅证据和复查责任人，不能从旧支架状态推断本次已拔除。并发症按症状、疑似、确诊、排除、缓解和未评估分开，保持依据与时点。</w:t>
      </w:r>
    </w:p>
    <w:p>
      <w:bookmarkStart w:id="6" w:name="s6"/>
      <w:pPr>
        <w:pStyle w:val="Heading1"/>
      </w:pPr>
      <w:r>
        <w:t>时点可用性与日期算法</w:t>
      </w:r>
      <w:bookmarkEnd w:id="6"/>
    </w:p>
    <w:p>
      <w:pPr>
        <w:widowControl/>
      </w:pPr>
      <w:r>
        <w:t>候选事实必须患者住院匹配且verification_status=confirmed，available_time≤record_time；未知回报时点的关键结果先核，不以采样时间代替可用时间。历史既往史可引用但标历史时间；当日查体、出血阴性、饮食恢复和麻醉清醒需当次证据。</w:t>
      </w:r>
    </w:p>
    <w:p>
      <w:pPr>
        <w:widowControl/>
      </w:pPr>
      <w:r>
        <w:t>操作后日按本院已确认登记日期的当地日历差，同日0、次日1。跨午夜而登记口径不清先核或仅写距结束小时；日期负值、操作未做或日期不明禁止计算。多次胃镜、肠镜与治疗分别列日数，不能用最近一次日期覆盖早先治疗。</w:t>
      </w:r>
    </w:p>
    <w:p>
      <w:bookmarkStart w:id="7" w:name="s7"/>
      <w:pPr>
        <w:pStyle w:val="Heading1"/>
      </w:pPr>
      <w:r>
        <w:t>自然语言路由规则</w:t>
      </w:r>
      <w:bookmarkEnd w:id="7"/>
    </w:p>
    <w:p>
      <w:pPr>
        <w:widowControl/>
      </w:pPr>
      <w:r>
        <w:t>初始化00，所有任务固定01、11、10。正式医学文书加02；需症状查体或评分加03；原文整理、趋势或病理分析加04；内镜前后、活检、取石、支架和切除加05；急变、呼吸循环异常和并发症加06；方案调整、抗栓和营养加07；真实三级查房加08；出院和复查加09。按当前问题选101—108，不按历史病名全部加载。</w:t>
      </w:r>
    </w:p>
    <w:p>
      <w:pPr>
        <w:widowControl/>
      </w:pPr>
      <w:r>
        <w:t>反流/吞咽→101；胃炎/溃疡/Hp→102；腹泻便秘感染或功能病→103；UC/CD→104；肝病腹水→105；胆胰与ERCP/EUS→106；出血急症→107；息肉早癌EMR/ESD→108。肝硬化静脉曲张出血为107主导加105；ESD后出血为06＋107＋108；病灶性质只抄报告用04，不自动产生治疗建议。</w:t>
      </w:r>
    </w:p>
    <w:p>
      <w:pPr>
        <w:widowControl/>
      </w:pPr>
      <w:r>
        <w:t>最小调用算法：接收任务→核对患者及住院→隔离异身份附件→建立带时间和来源的事实→更新事件并行状态→识别文书与主问题→固定规则加功能和专病并去重→构造候选正文→10审查→格式化。急危重症先提示现场评估。查房分析只整合真实意见，不自动模拟实际查房发生。</w:t>
      </w:r>
    </w:p>
    <w:p>
      <w:bookmarkStart w:id="8" w:name="s8"/>
      <w:pPr>
        <w:pStyle w:val="Heading1"/>
      </w:pPr>
      <w:r>
        <w:t>输出协议及可携带状态摘要</w:t>
      </w:r>
      <w:bookmarkEnd w:id="8"/>
    </w:p>
    <w:p>
      <w:pPr>
        <w:widowControl/>
      </w:pPr>
      <w:r>
        <w:t>所有正式医学文书正文置于独立Markdown text代码框。记录日期、时间、标题和查房医师姓名职称置于框外；框内仅放医学正文，不重复题头，不放AI解释、备注或核对问题。日常病程和主治、副主任、主任医师查房均为连续完整一整段，不分条、不留空行、不人为加空格，仍需保留必要临床内容。入院、首次病程、术前小结、操作记录、抢救和出院文书可保留必要栏目。临床事件时间、标本时间和既往操作日期可以出现在正文，不能误删。禁止“根据昨天的病程记录”“结合前一天的查体情况”“根据用户上传的图片”“AI分析认为”。模板中的【字段】只供构造，正式净稿须替换或安全删除，不能保留占位符、“有/无”双选或默认正常。关键事实冲突在框外提示并阻断受影响净稿。</w:t>
      </w:r>
    </w:p>
    <w:p>
      <w:pPr>
        <w:widowControl/>
      </w:pPr>
      <w:r>
        <w:t>跨会话摘要为独立脱敏资料，不进入正式正文：患者与本次住院标识、时点、每次内镜ID及实际状态、病灶标本映射、已回与待回报告、当前治疗及停药、并发症确定度、未解决冲突与来源索引。不得将全患者资料写入SKILL.md或模板库；用户未要求时不持久化真实患者信息。</w:t>
      </w:r>
    </w:p>
    <w:p>
      <w:bookmarkStart w:id="9" w:name="s9"/>
      <w:pPr>
        <w:pStyle w:val="Heading1"/>
      </w:pPr>
      <w:r>
        <w:t>多病灶多次内镜虚构实例</w:t>
      </w:r>
      <w:bookmarkEnd w:id="9"/>
    </w:p>
    <w:p>
      <w:pPr>
        <w:widowControl/>
      </w:pPr>
      <w:r>
        <w:t>SIM-GI-11/E01，P01于10月20日肠镜，L1升结肠8 mm，冷圈套切除S1；L2乙状结肠20 mm，仅活检S2。10月22日S1为管状腺瘤、S2高级别上皮内瘤变。P02于10月25日仅对L2做ESD，S3切除病理10月27日回报。10月26日时L1为冷切后6日、L2为ESD后1日，S3待回，不能把S2当S3切缘或浸润结论。</w:t>
      </w:r>
    </w:p>
    <w:p>
      <w:pPr>
        <w:widowControl/>
      </w:pPr>
      <w:r>
        <w:t>2026年10月26日 09:00 日常病程记录</w:t>
      </w:r>
    </w:p>
    <w:p>
      <w:pPr>
        <w:pStyle w:val="Code"/>
      </w:pPr>
      <w:r>
        <w:t>```text</w:t>
      </w:r>
    </w:p>
    <w:p>
      <w:pPr>
        <w:pStyle w:val="Code"/>
        <w:keepLines w:val="0"/>
        <w:widowControl/>
      </w:pPr>
      <w:r>
        <w:t>患者10月20日肠镜下升结肠病灶行冷圈套切除，乙状结肠病灶仅行活检；对应病理分别为管状腺瘤和高级别上皮内瘤变。10月25日另对乙状结肠病灶行ESD，截至本次记录时点切除标本病理尚未回报，切缘和浸润情况待该标本正式病理评价。两次内镜操作及各标本分别对应管理。</w:t>
      </w:r>
    </w:p>
    <w:p>
      <w:pPr>
        <w:pStyle w:val="Code"/>
      </w:pPr>
      <w:r>
        <w:t>```</w:t>
      </w:r>
    </w:p>
    <w:p>
      <w:bookmarkStart w:id="10" w:name="s10"/>
      <w:pPr>
        <w:pStyle w:val="Heading1"/>
      </w:pPr>
      <w:r>
        <w:t>病理待回的强制前置核验</w:t>
      </w:r>
      <w:bookmarkEnd w:id="10"/>
    </w:p>
    <w:p>
      <w:pPr>
        <w:widowControl/>
      </w:pPr>
      <w:r>
        <w:t>“病理待回”必须有相应患者和病灶的已取材及送检来源；未取材、拟取材、标本未回收或取材后未确认送检均不得自动写送检待回。若仅知道已取材而送检不明，明确记录送检状态待核。该约束同样适用于模拟示例和从旧病程复制的句子。</w:t>
      </w:r>
    </w:p>
    <w:p>
      <w:bookmarkStart w:id="11" w:name="s11"/>
      <w:pPr>
        <w:pStyle w:val="Heading1"/>
      </w:pPr>
      <w:r>
        <w:t>事实限制 常见错误及质控</w:t>
      </w:r>
      <w:bookmarkEnd w:id="11"/>
    </w:p>
    <w:p>
      <w:pPr>
        <w:widowControl/>
      </w:pPr>
      <w:r>
        <w:t>患者真实资料高于通用模板和医学知识。每条事实绑定patient_id、encounter_id、来源、event_time和available_time；未提供、未做、阴性、阳性和冲突分开。不得编造当日查体、生命体征、检查数值、内镜到达部位、病灶数量大小、活检、器械、夹数、麻醉、治疗执行、病理、分期、会诊、知情沟通或医师意见。历史资料明确日期；当日症状与查体不从昨日自动继承。正式意见由实际责任医师审核签署。</w:t>
      </w:r>
    </w:p>
    <w:p>
      <w:pPr>
        <w:widowControl/>
      </w:pPr>
      <w:r>
        <w:t>关键复核：同瓶混灶不能强行一对一；病理状态与治疗状态并行；新住院不复制上次给药或内镜状态；来源可用时点不晚于记录时点；更正留痕而非覆盖。</w:t>
      </w:r>
    </w:p>
    <w:p>
      <w:pPr>
        <w:widowControl/>
      </w:pPr>
      <w:r>
        <w:t>不得将模板建议改写成已执行处置。症状减轻不等于黏膜愈合，技术完成不等于病理治愈，未记录并发症不等于已经排除。</w:t>
      </w:r>
    </w:p>
    <w:p>
      <w:bookmarkStart w:id="12" w:name="s12"/>
      <w:pPr>
        <w:pStyle w:val="Heading1"/>
      </w:pPr>
      <w:r>
        <w:t>协同与维护</w:t>
      </w:r>
      <w:bookmarkEnd w:id="12"/>
    </w:p>
    <w:p>
      <w:pPr>
        <w:widowControl/>
      </w:pPr>
      <w:r>
        <w:t>00为唯一入口，01最高规则，11管理身份和事件，02—09提供任务功能，101—108补充对应疾病知识，10输出前终审。只读取本任务所需模块，冲突按01处理，不重复拼接正文。季度复核指南版本，新增指南、药物说明书或院内流程变化时由消化、内镜、麻醉、病理与病案质控人员按职责修订；保留修订人、日期、原因、受影响条款和回归用例。</w:t>
      </w:r>
    </w:p>
    <w:p>
      <w:bookmarkStart w:id="13" w:name="s13"/>
      <w:pPr>
        <w:pStyle w:val="Heading1"/>
      </w:pPr>
      <w:r>
        <w:t>指南版本和适用章节</w:t>
      </w:r>
      <w:bookmarkEnd w:id="13"/>
    </w:p>
    <w:p>
      <w:pPr>
        <w:widowControl/>
      </w:pPr>
      <w:r>
        <w:t>核验基准日2026-10-26。来源编号及准确名称、发布机构、年份、可访问层级与链接见本章记录。书目或摘要不能代替全文推荐；未核原文的精确阈值、剂量、证据等级和固定复查间隔不成为自动生成规则。国际文献仅补充适用的定义和方法，须结合中国规范及院内授权。</w:t>
      </w:r>
    </w:p>
    <w:p>
      <w:pPr>
        <w:widowControl/>
      </w:pPr>
      <w:r>
        <w:t>R01 R03用于时点、身份与修改留痕；R04 R05用于内镜事件与记录质量；R22 R23用于切除和病理评价的证据边界。</w:t>
      </w:r>
    </w:p>
    <w:p>
      <w:bookmarkStart w:id="14" w:name="s14"/>
      <w:pPr>
        <w:pStyle w:val="Heading1"/>
      </w:pPr>
      <w:r>
        <w:t>逐条来源核验登记</w:t>
      </w:r>
      <w:bookmarkEnd w:id="14"/>
    </w:p>
    <w:p>
      <w:pPr>
        <w:pStyle w:val="Heading2"/>
      </w:pPr>
      <w:r>
        <w:t>R01 病历书写基本规范</w:t>
      </w:r>
    </w:p>
    <w:p>
      <w:pPr>
        <w:widowControl/>
      </w:pPr>
      <w:r>
        <w:t>发布机构：原卫生部。版本年份：2010。核验日期：2026-10-26。</w:t>
      </w:r>
    </w:p>
    <w:p>
      <w:pPr>
        <w:widowControl/>
      </w:pPr>
      <w:r>
        <w:t>实际核验层级：官方发布索引与规范信息；直接正文抓取遇412，未据此新增精确时限。</w:t>
      </w:r>
    </w:p>
    <w:p>
      <w:pPr>
        <w:widowControl/>
      </w:pPr>
      <w:r>
        <w:t>适用章节：全模块真实性及基本文书栏目。</w:t>
      </w:r>
    </w:p>
    <w:p>
      <w:pPr>
        <w:widowControl/>
      </w:pPr>
      <w:r>
        <w:t>来源：https://www.nhc.gov.cn/wjw/c100175/201002/b1bec53d90f243e0861529723f00221a.shtml</w:t>
      </w:r>
    </w:p>
    <w:p>
      <w:pPr>
        <w:pStyle w:val="Heading2"/>
      </w:pPr>
      <w:r>
        <w:t>R03 电子病历应用管理规范 试行</w:t>
      </w:r>
    </w:p>
    <w:p>
      <w:pPr>
        <w:widowControl/>
      </w:pPr>
      <w:r>
        <w:t>发布机构：原国家卫生计生委 国家中医药管理局。版本年份：2017。核验日期：2026-10-26。</w:t>
      </w:r>
    </w:p>
    <w:p>
      <w:pPr>
        <w:widowControl/>
      </w:pPr>
      <w:r>
        <w:t>实际核验层级：官方正文可访问。</w:t>
      </w:r>
    </w:p>
    <w:p>
      <w:pPr>
        <w:widowControl/>
      </w:pPr>
      <w:r>
        <w:t>适用章节：身份唯一性 权限 修改留痕与签署。</w:t>
      </w:r>
    </w:p>
    <w:p>
      <w:pPr>
        <w:widowControl/>
      </w:pPr>
      <w:r>
        <w:t>来源：https://www.nhc.gov.cn/mohwsbwstjxxzx/s8553/201702/ebe31b47c1ea4bcfaed973fb8806992c.shtml</w:t>
      </w:r>
    </w:p>
    <w:p>
      <w:pPr>
        <w:pStyle w:val="Heading2"/>
      </w:pPr>
      <w:r>
        <w:t>R04 消化内镜诊疗技术临床应用管理规范 2019年版</w:t>
      </w:r>
    </w:p>
    <w:p>
      <w:pPr>
        <w:widowControl/>
      </w:pPr>
      <w:r>
        <w:t>发布机构：国家卫生健康委办公厅。版本年份：2019。核验日期：2026-10-26。</w:t>
      </w:r>
    </w:p>
    <w:p>
      <w:pPr>
        <w:widowControl/>
      </w:pPr>
      <w:r>
        <w:t>实际核验层级：官方附件正文及发布索引；检索未能确认同名替代版，不称绝对最新。</w:t>
      </w:r>
    </w:p>
    <w:p>
      <w:pPr>
        <w:widowControl/>
      </w:pPr>
      <w:r>
        <w:t>适用章节：机构和人员准入 技术能力 操作记录边界。</w:t>
      </w:r>
    </w:p>
    <w:p>
      <w:pPr>
        <w:widowControl/>
      </w:pPr>
      <w:r>
        <w:t>来源：https://www.nhc.gov.cn/yzygj/c100068/201912/9be34a67211b4ce9a3344cb85638e987/files/1733999173171_88380.pdf</w:t>
      </w:r>
    </w:p>
    <w:p>
      <w:pPr>
        <w:pStyle w:val="Heading2"/>
      </w:pPr>
      <w:r>
        <w:t>R05 消化内镜诊疗技术医疗质量控制指标 2022年版</w:t>
      </w:r>
    </w:p>
    <w:p>
      <w:pPr>
        <w:widowControl/>
      </w:pPr>
      <w:r>
        <w:t>发布机构：国家卫生健康委办公厅。版本年份：2022。核验日期：2026-10-26。</w:t>
      </w:r>
    </w:p>
    <w:p>
      <w:pPr>
        <w:widowControl/>
      </w:pPr>
      <w:r>
        <w:t>实际核验层级：官方PDF可访问。</w:t>
      </w:r>
    </w:p>
    <w:p>
      <w:pPr>
        <w:widowControl/>
      </w:pPr>
      <w:r>
        <w:t>适用章节：内镜质量记录和指标定义；机构指标不变成患者已检查事实。</w:t>
      </w:r>
    </w:p>
    <w:p>
      <w:pPr>
        <w:widowControl/>
      </w:pPr>
      <w:r>
        <w:t>来源：https://www.nhc.gov.cn/yzygj/c100068/202205/164e6556f6d34c33a3344fec9a2c5074/files/1733999800103_94149.pdf</w:t>
      </w:r>
    </w:p>
    <w:p>
      <w:pPr>
        <w:pStyle w:val="Heading2"/>
      </w:pPr>
      <w:r>
        <w:t>R22 中国结直肠息肉冷切专家共识 2023年 杭州</w:t>
      </w:r>
    </w:p>
    <w:p>
      <w:pPr>
        <w:widowControl/>
      </w:pPr>
      <w:r>
        <w:t>发布机构：中华医学会消化内镜学分会。版本年份：2023。核验日期：2026-10-26。</w:t>
      </w:r>
    </w:p>
    <w:p>
      <w:pPr>
        <w:widowControl/>
      </w:pPr>
      <w:r>
        <w:t>实际核验层级：原刊题录和正文页面可访问。</w:t>
      </w:r>
    </w:p>
    <w:p>
      <w:pPr>
        <w:widowControl/>
      </w:pPr>
      <w:r>
        <w:t>适用章节：05及108冷切与其他方式分开 切除和病理评价。</w:t>
      </w:r>
    </w:p>
    <w:p>
      <w:pPr>
        <w:widowControl/>
      </w:pPr>
      <w:r>
        <w:t>来源：https://zhwcnjdzzz.cma-cmc.com.cn/CN/10.3877/cma.j.issn.2095-7157.2023.02.001</w:t>
      </w:r>
    </w:p>
    <w:p>
      <w:pPr>
        <w:widowControl/>
      </w:pPr>
      <w:r>
        <w:t>DOI：10.3877/cma.j.issn.2095-7157.2023.02.001</w:t>
      </w:r>
    </w:p>
    <w:p>
      <w:pPr>
        <w:pStyle w:val="Heading2"/>
      </w:pPr>
      <w:r>
        <w:t>R23 胃内镜黏膜下剥离术围手术期指南 2025版 及中国早期胃癌内镜诊治共识 2023 太原</w:t>
      </w:r>
    </w:p>
    <w:p>
      <w:pPr>
        <w:widowControl/>
      </w:pPr>
      <w:r>
        <w:t>发布机构：胃ESD 国家消化系统疾病临床医学研究中心 中华医学会消化内镜学分会 中国医师协会消化医师分会；早胃癌 中华医学会消化内镜学分会。版本年份：2025及2023版。核验日期：2026-10-26。</w:t>
      </w:r>
    </w:p>
    <w:p>
      <w:pPr>
        <w:widowControl/>
      </w:pPr>
      <w:r>
        <w:t>实际核验层级：2025原刊PDF链接获取失败，题录信息待原刊全文进一步核；2023太原原始文献SinoMed记录可核 https://www.sinomed.ac.cn/article.do?ui=2024383721 。不把解读或2017旧文当2025原文。</w:t>
      </w:r>
    </w:p>
    <w:p>
      <w:pPr>
        <w:widowControl/>
      </w:pPr>
      <w:r>
        <w:t>适用章节：05及108胃ESD围期资料要求与病理治愈性边界；不固化未核精确阈值。</w:t>
      </w:r>
    </w:p>
    <w:p>
      <w:pPr>
        <w:widowControl/>
      </w:pPr>
      <w:r>
        <w:t>来源：https://doi.org/10.3760/cma.j.cn321463-20250110-00017</w:t>
      </w:r>
    </w:p>
    <w:p>
      <w:pPr>
        <w:widowControl/>
      </w:pPr>
      <w:r>
        <w:t>DOI：2025 10.3760/cma.j.cn321463-20250110-00017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11  V1.0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Hiragino Sans GB" w:hAnsi="Hiragino Sans GB" w:eastAsia="Hiragino Sans GB" w:cs="Hiragino Sans GB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00"/>
    </w:pPr>
    <w:rPr>
      <w:rFonts w:ascii="Hiragino Sans GB" w:hAnsi="Hiragino Sans GB" w:eastAsia="Hiragino Sans GB" w:cs="Hiragino Sans GB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Hiragino Sans GB" w:hAnsi="Hiragino Sans GB" w:eastAsia="Hiragino Sans GB" w:cs="Hiragino Sans GB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Hiragino Sans GB" w:hAnsi="Hiragino Sans GB" w:eastAsia="Hiragino Sans GB" w:cs="Hiragino Sans GB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Hiragino Sans GB" w:hAnsi="Hiragino Sans GB" w:eastAsia="Hiragino Sans GB" w:cs="Hiragino Sans GB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Hiragino Sans GB" w:hAnsi="Hiragino Sans GB" w:eastAsia="Hiragino Sans GB" w:cs="Hiragino Sans GB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Hiragino Sans GB" w:hAnsi="Hiragino Sans GB" w:eastAsia="Hiragino Sans GB" w:cs="Hiragino Sans GB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Hiragino Sans GB" w:hAnsi="Hiragino Sans GB" w:eastAsia="Hiragino Sans GB" w:cs="Hiragino Sans GB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Hiragino Sans GB" w:hAnsi="Hiragino Sans GB" w:eastAsia="Hiragino Sans GB" w:cs="Hiragino Sans GB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Hiragino Sans GB" w:hAnsi="Hiragino Sans GB" w:eastAsia="Hiragino Sans GB" w:cs="Hiragino Sans GB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Hiragino Sans GB" w:hAnsi="Hiragino Sans GB" w:eastAsia="Hiragino Sans GB" w:cs="Hiragino Sans GB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Hiragino Sans GB" w:hAnsi="Hiragino Sans GB" w:eastAsia="Hiragino Sans GB" w:cs="Hiragino Sans GB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Hiragino Sans GB" w:hAnsi="Hiragino Sans GB" w:eastAsia="Hiragino Sans GB" w:cs="Hiragino Sans GB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Hiragino Sans GB" w:hAnsi="Hiragino Sans GB" w:eastAsia="Hiragino Sans GB" w:cs="Hiragino Sans GB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40"/>
      <w:contextualSpacing/>
    </w:pPr>
    <w:rPr>
      <w:rFonts w:ascii="Hiragino Sans GB" w:hAnsi="Hiragino Sans GB" w:eastAsia="Hiragino Sans GB" w:cs="Hiragino Sans GB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Hiragino Sans GB" w:hAnsi="Hiragino Sans GB" w:eastAsia="Hiragino Sans GB" w:cs="Hiragino Sans GB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40" w:after="120"/>
    </w:pPr>
    <w:rPr>
      <w:rFonts w:ascii="Hiragino Sans GB" w:hAnsi="Hiragino Sans GB" w:eastAsia="Hiragino Sans GB" w:cs="Hiragino Sans GB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Hiragino Sans GB" w:hAnsi="Hiragino Sans GB" w:eastAsia="Hiragino Sans GB" w:cs="Hiragino Sans GB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Hiragino Sans GB" w:hAnsi="Hiragino Sans GB" w:eastAsia="Hiragino Sans GB" w:cs="Hiragino Sans GB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Hiragino Sans GB" w:hAnsi="Hiragino Sans GB" w:eastAsia="Hiragino Sans GB" w:cs="Hiragino Sans GB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Hiragino Sans GB" w:hAnsi="Hiragino Sans GB" w:eastAsia="Hiragino Sans GB" w:cs="Hiragino Sans GB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Hiragino Sans GB" w:hAnsi="Hiragino Sans GB" w:eastAsia="Hiragino Sans GB" w:cs="Hiragino Sans GB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Hiragino Sans GB" w:hAnsi="Hiragino Sans GB" w:eastAsia="Hiragino Sans GB" w:cs="Hiragino Sans GB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Hiragino Sans GB" w:hAnsi="Hiragino Sans GB" w:eastAsia="Hiragino Sans GB" w:cs="Hiragino Sans GB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Hiragino Sans GB" w:hAnsi="Hiragino Sans GB" w:eastAsia="Hiragino Sans GB" w:cs="Hiragino Sans GB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Hiragino Sans GB" w:hAnsi="Hiragino Sans GB" w:eastAsia="Hiragino Sans GB" w:cs="Hiragino Sans GB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Hiragino Sans GB" w:hAnsi="Hiragino Sans GB" w:eastAsia="Hiragino Sans GB" w:cs="Hiragino Sans GB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Hiragino Sans GB" w:hAnsi="Hiragino Sans GB" w:eastAsia="Hiragino Sans GB" w:cs="Hiragino Sans GB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Hiragino Sans GB" w:hAnsi="Hiragino Sans GB" w:eastAsia="Hiragino Sans GB" w:cs="Hiragino Sans GB"/>
        <w:b/>
        <w:bCs/>
      </w:rPr>
    </w:tblStylePr>
    <w:tblStylePr w:type="lastCol">
      <w:rPr>
        <w:rFonts w:ascii="Hiragino Sans GB" w:hAnsi="Hiragino Sans GB" w:eastAsia="Hiragino Sans GB" w:cs="Hiragino Sans GB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iragino Sans GB" w:hAnsi="Hiragino Sans GB" w:eastAsia="Hiragino Sans GB" w:cs="Hiragino Sans GB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Hiragino Sans GB" w:hAnsi="Hiragino Sans GB" w:eastAsia="Hiragino Sans GB" w:cs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81" w:lineRule="auto" w:after="40"/>
    </w:pPr>
    <w:rPr>
      <w:rFonts w:ascii="Hiragino Sans GB" w:hAnsi="Hiragino Sans GB" w:eastAsia="Hiragino Sans GB" w:cs="Hiragino Sans GB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 消化内科AI自动调用路由与病例状态管理规则库</dc:title>
  <dc:subject>消化内科含胃肠镜AI病历书写系统V1.0</dc:subject>
  <dc:creator>病历模板库</dc:creator>
  <cp:keywords>消化内科 胃肠镜 医学文书 真实性 质控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