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00 普外科AI病历系统总入口与模块调用索引</w:t>
      </w:r>
    </w:p>
    <w:p>
      <w:pPr>
        <w:pStyle w:val="Subtitle"/>
      </w:pPr>
      <w:r>
        <w:t>普外科 肝胆胰脾胃肠肛肠 AI病历书写系统</w:t>
      </w:r>
    </w:p>
    <w:p>
      <w:r>
        <w:t>版本 V2.0</w:t>
        <w:br/>
        <w:t>架构定位 第一级 系统入口与最高指令</w:t>
        <w:br/>
        <w:t>建设与核验日期 2026年10月26日</w:t>
        <w:br/>
        <w:t>适用对象 普外科责任医师与病历质控人员</w:t>
      </w:r>
    </w:p>
    <w:p>
      <w:r>
        <w:t>用于辅助整理真实临床资料、形成待责任医师审核的医学文书及质量核查。使用前必须读取01的真实性、证据和治疗状态规则。</w:t>
      </w:r>
    </w:p>
    <w:p>
      <w:pPr>
        <w:pStyle w:val="Heading1"/>
      </w:pPr>
      <w:r>
        <w:t>模块功能与调用条件</w:t>
      </w:r>
    </w:p>
    <w:p>
      <w:r>
        <w:t>本系统辅助中国医院普外科医师整理、拟写和核查住院全周期文书。不会自行下达医嘱、签名或证明操作已经完成。00负责索引；01负责最高规则；02—11为第二级功能层，其中10与11不是专病层；101—108为第三级专病层。甲状腺和乳腺专病不纳入本次核心模块。Word规则库需由使用中的AI按需读取；文件夹本身不具备自动运行或持久保存患者状态的能力。</w:t>
      </w:r>
    </w:p>
    <w:p>
      <w:r>
        <w:t>本模块按00索引由11识别任务后调用；当所需专科资料和事实状态不足时先核对，不自行补全。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60"/>
        <w:ind w:left="0"/>
      </w:pPr>
      <w:hyperlink w:anchor="s0">
        <w:r>
          <w:t>统一入口与三级架构</w:t>
        </w:r>
      </w:hyperlink>
    </w:p>
    <w:p>
      <w:pPr>
        <w:spacing w:after="60"/>
        <w:ind w:left="0"/>
      </w:pPr>
      <w:hyperlink w:anchor="s1">
        <w:r>
          <w:t>20个模块与对应相对位置</w:t>
        </w:r>
      </w:hyperlink>
    </w:p>
    <w:p>
      <w:pPr>
        <w:spacing w:after="60"/>
        <w:ind w:left="0"/>
      </w:pPr>
      <w:hyperlink w:anchor="s2">
        <w:r>
          <w:t>可执行调用算法</w:t>
        </w:r>
      </w:hyperlink>
    </w:p>
    <w:p>
      <w:pPr>
        <w:spacing w:after="60"/>
        <w:ind w:left="0"/>
      </w:pPr>
      <w:hyperlink w:anchor="s3">
        <w:r>
          <w:t>正式医学文书代码框输出完整规范</w:t>
        </w:r>
      </w:hyperlink>
    </w:p>
    <w:p>
      <w:pPr>
        <w:spacing w:after="60"/>
        <w:ind w:left="0"/>
      </w:pPr>
      <w:hyperlink w:anchor="s4">
        <w:r>
          <w:t>原资料迁移依据</w:t>
        </w:r>
      </w:hyperlink>
    </w:p>
    <w:p>
      <w:pPr>
        <w:spacing w:after="60"/>
        <w:ind w:left="0"/>
      </w:pPr>
      <w:hyperlink w:anchor="s5">
        <w:r>
          <w:t>原14份资料读取与迁移登记</w:t>
        </w:r>
      </w:hyperlink>
    </w:p>
    <w:p>
      <w:pPr>
        <w:spacing w:after="60"/>
        <w:ind w:left="0"/>
      </w:pPr>
      <w:hyperlink w:anchor="s6">
        <w:r>
          <w:t>临床模拟示例 统一入口路由</w:t>
        </w:r>
      </w:hyperlink>
    </w:p>
    <w:p>
      <w:pPr>
        <w:spacing w:after="60"/>
        <w:ind w:left="0"/>
      </w:pPr>
      <w:hyperlink w:anchor="s7">
        <w:r>
          <w:t>事实边界 常见错误及最终质量控制</w:t>
        </w:r>
      </w:hyperlink>
    </w:p>
    <w:p>
      <w:pPr>
        <w:spacing w:after="60"/>
        <w:ind w:left="0"/>
      </w:pPr>
      <w:hyperlink w:anchor="s8">
        <w:r>
          <w:t>与其他模块的协同关系</w:t>
        </w:r>
      </w:hyperlink>
    </w:p>
    <w:p>
      <w:pPr>
        <w:spacing w:after="60"/>
        <w:ind w:left="0"/>
      </w:pPr>
      <w:hyperlink w:anchor="s9">
        <w:r>
          <w:t>参考指南 版本与核验范围</w:t>
        </w:r>
      </w:hyperlink>
    </w:p>
    <w:p>
      <w:pPr>
        <w:spacing w:after="60"/>
        <w:ind w:left="0"/>
      </w:pPr>
      <w:hyperlink w:anchor="s10">
        <w:r>
          <w:t>正式文书构造示范</w:t>
        </w:r>
      </w:hyperlink>
    </w:p>
    <w:p>
      <w:pPr>
        <w:spacing w:after="60"/>
        <w:ind w:left="0"/>
      </w:pPr>
      <w:hyperlink w:anchor="s11">
        <w:r>
          <w:t>交付建设与验收索引</w:t>
        </w:r>
      </w:hyperlink>
    </w:p>
    <w:p>
      <w:r>
        <w:t>完整分级导航可在Word或WPS的导航窗格展开。</w:t>
      </w:r>
    </w:p>
    <w:p>
      <w:r>
        <w:br w:type="page"/>
      </w:r>
    </w:p>
    <w:p>
      <w:bookmarkStart w:id="0" w:name="s0"/>
      <w:pPr>
        <w:pStyle w:val="Heading1"/>
      </w:pPr>
      <w:r>
        <w:t>统一入口与三级架构</w:t>
      </w:r>
      <w:bookmarkEnd w:id="0"/>
    </w:p>
    <w:p>
      <w:pPr>
        <w:widowControl/>
      </w:pPr>
      <w:r>
        <w:t>本系统辅助中国医院普外科医师整理、拟写和核查住院全周期文书。不会自行下达医嘱、签名或证明操作已经完成。00负责索引；01负责最高规则；02—11为第二级功能层，其中10与11不是专病层；101—108为第三级专病层。甲状腺和乳腺专病不纳入本次核心模块。Word规则库需由使用中的AI按需读取；文件夹本身不具备自动运行或持久保存患者状态的能力。</w:t>
      </w:r>
    </w:p>
    <w:p>
      <w:bookmarkStart w:id="1" w:name="s1"/>
      <w:pPr>
        <w:pStyle w:val="Heading1"/>
      </w:pPr>
      <w:r>
        <w:t>20个模块与对应相对位置</w:t>
      </w:r>
      <w:bookmarkEnd w:id="1"/>
    </w:p>
    <w:p>
      <w:pPr>
        <w:widowControl/>
      </w:pPr>
      <w:r>
        <w:t>00_普外科AI病历系统总入口与模块调用索引</w:t>
      </w:r>
    </w:p>
    <w:p>
      <w:pPr>
        <w:widowControl/>
      </w:pPr>
      <w:r>
        <w:t>位置：00_普外科AI病历系统总入口与模块调用索引/00_普外科AI病历系统总入口与模块调用索引.docx</w:t>
      </w:r>
    </w:p>
    <w:p>
      <w:pPr>
        <w:widowControl/>
      </w:pPr>
      <w:r>
        <w:t>职责：任务入口和最小模块集合</w:t>
      </w:r>
    </w:p>
    <w:p>
      <w:pPr>
        <w:widowControl/>
      </w:pPr>
      <w:r>
        <w:t>01_普外科病历书写助手最高执行指令</w:t>
      </w:r>
    </w:p>
    <w:p>
      <w:pPr>
        <w:widowControl/>
      </w:pPr>
      <w:r>
        <w:t>位置：01_普外科病历书写助手最高执行指令/01_普外科病历书写助手最高执行指令.docx</w:t>
      </w:r>
    </w:p>
    <w:p>
      <w:pPr>
        <w:widowControl/>
      </w:pPr>
      <w:r>
        <w:t>职责：真实性及证据最高约束</w:t>
      </w:r>
    </w:p>
    <w:p>
      <w:pPr>
        <w:widowControl/>
      </w:pPr>
      <w:r>
        <w:t>02_普外科基础医学文书与通用病程模板库</w:t>
      </w:r>
    </w:p>
    <w:p>
      <w:pPr>
        <w:widowControl/>
      </w:pPr>
      <w:r>
        <w:t>位置：02_普外科基础医学文书与通用病程模板库/02_普外科基础医学文书与通用病程模板库.docx</w:t>
      </w:r>
    </w:p>
    <w:p>
      <w:pPr>
        <w:widowControl/>
      </w:pPr>
      <w:r>
        <w:t>职责：文书栏目和正文构造</w:t>
      </w:r>
    </w:p>
    <w:p>
      <w:pPr>
        <w:widowControl/>
      </w:pPr>
      <w:r>
        <w:t>03_普外科专科检查与腹部体格检查模板库</w:t>
      </w:r>
    </w:p>
    <w:p>
      <w:pPr>
        <w:widowControl/>
      </w:pPr>
      <w:r>
        <w:t>位置：03_普外科专科检查与腹部体格检查模板库/03_普外科专科检查与腹部体格检查模板库.docx</w:t>
      </w:r>
    </w:p>
    <w:p>
      <w:pPr>
        <w:widowControl/>
      </w:pPr>
      <w:r>
        <w:t>职责：实际查体采集</w:t>
      </w:r>
    </w:p>
    <w:p>
      <w:pPr>
        <w:widowControl/>
      </w:pPr>
      <w:r>
        <w:t>04_普外科检验影像内镜病理及特殊检查结果分析模板库</w:t>
      </w:r>
    </w:p>
    <w:p>
      <w:pPr>
        <w:widowControl/>
      </w:pPr>
      <w:r>
        <w:t>位置：04_普外科检验影像内镜病理及特殊检查结果分析模板库/04_普外科检验影像内镜病理及特殊检查结果分析模板库.docx</w:t>
      </w:r>
    </w:p>
    <w:p>
      <w:pPr>
        <w:widowControl/>
      </w:pPr>
      <w:r>
        <w:t>职责：原文整理与临床分析分离</w:t>
      </w:r>
    </w:p>
    <w:p>
      <w:pPr>
        <w:widowControl/>
      </w:pPr>
      <w:r>
        <w:t>05_普外科高频术式与围手术期医学文书模板库</w:t>
      </w:r>
    </w:p>
    <w:p>
      <w:pPr>
        <w:widowControl/>
      </w:pPr>
      <w:r>
        <w:t>位置：05_普外科高频术式与围手术期医学文书模板库/05_普外科高频术式与围手术期医学文书模板库.docx</w:t>
      </w:r>
    </w:p>
    <w:p>
      <w:pPr>
        <w:widowControl/>
      </w:pPr>
      <w:r>
        <w:t>职责：术式特异围术期阶段</w:t>
      </w:r>
    </w:p>
    <w:p>
      <w:pPr>
        <w:widowControl/>
      </w:pPr>
      <w:r>
        <w:t>06_普外科术后并发症异常病情及危急重症病程模板库</w:t>
      </w:r>
    </w:p>
    <w:p>
      <w:pPr>
        <w:widowControl/>
      </w:pPr>
      <w:r>
        <w:t>位置：06_普外科术后并发症异常病情及危急重症病程模板库/06_普外科术后并发症异常病情及危急重症病程模板库.docx</w:t>
      </w:r>
    </w:p>
    <w:p>
      <w:pPr>
        <w:widowControl/>
      </w:pPr>
      <w:r>
        <w:t>职责：异常识别和事件闭环</w:t>
      </w:r>
    </w:p>
    <w:p>
      <w:pPr>
        <w:widowControl/>
      </w:pPr>
      <w:r>
        <w:t>07_普外科治疗决策围手术期用药及医嘱表达规则库</w:t>
      </w:r>
    </w:p>
    <w:p>
      <w:pPr>
        <w:widowControl/>
      </w:pPr>
      <w:r>
        <w:t>位置：07_普外科治疗决策围手术期用药及医嘱表达规则库/07_普外科治疗决策围手术期用药及医嘱表达规则库.docx</w:t>
      </w:r>
    </w:p>
    <w:p>
      <w:pPr>
        <w:widowControl/>
      </w:pPr>
      <w:r>
        <w:t>职责：治疗状态及药物核对</w:t>
      </w:r>
    </w:p>
    <w:p>
      <w:pPr>
        <w:widowControl/>
      </w:pPr>
      <w:r>
        <w:t>08_普外科三级医师查房决策与层级表达模板库</w:t>
      </w:r>
    </w:p>
    <w:p>
      <w:pPr>
        <w:widowControl/>
      </w:pPr>
      <w:r>
        <w:t>位置：08_普外科三级医师查房决策与层级表达模板库/08_普外科三级医师查房决策与层级表达模板库.docx</w:t>
      </w:r>
    </w:p>
    <w:p>
      <w:pPr>
        <w:widowControl/>
      </w:pPr>
      <w:r>
        <w:t>职责：三级查房判断层级</w:t>
      </w:r>
    </w:p>
    <w:p>
      <w:pPr>
        <w:widowControl/>
      </w:pPr>
      <w:r>
        <w:t>09_普外科术后恢复营养管道造口及出院随访模板库</w:t>
      </w:r>
    </w:p>
    <w:p>
      <w:pPr>
        <w:widowControl/>
      </w:pPr>
      <w:r>
        <w:t>位置：09_普外科术后恢复营养管道造口及出院随访模板库/09_普外科术后恢复营养管道造口及出院随访模板库.docx</w:t>
      </w:r>
    </w:p>
    <w:p>
      <w:pPr>
        <w:widowControl/>
      </w:pPr>
      <w:r>
        <w:t>职责：恢复管道及出院衔接</w:t>
      </w:r>
    </w:p>
    <w:p>
      <w:pPr>
        <w:widowControl/>
      </w:pPr>
      <w:r>
        <w:t>10_普外科病历最终质控诊断修正及时间轴一致性审查库</w:t>
      </w:r>
    </w:p>
    <w:p>
      <w:pPr>
        <w:widowControl/>
      </w:pPr>
      <w:r>
        <w:t>位置：10_普外科病历最终质控诊断修正及时间轴一致性审查库/10_普外科病历最终质控诊断修正及时间轴一致性审查库.docx</w:t>
      </w:r>
    </w:p>
    <w:p>
      <w:pPr>
        <w:widowControl/>
      </w:pPr>
      <w:r>
        <w:t>职责：输出前阻断审核</w:t>
      </w:r>
    </w:p>
    <w:p>
      <w:pPr>
        <w:widowControl/>
      </w:pPr>
      <w:r>
        <w:t>11_普外科AI自动调用路由与病例状态管理规则库</w:t>
      </w:r>
    </w:p>
    <w:p>
      <w:pPr>
        <w:widowControl/>
      </w:pPr>
      <w:r>
        <w:t>位置：11_普外科AI自动调用路由与病例状态管理规则库/11_普外科AI自动调用路由与病例状态管理规则库.docx</w:t>
      </w:r>
    </w:p>
    <w:p>
      <w:pPr>
        <w:widowControl/>
      </w:pPr>
      <w:r>
        <w:t>职责：患者状态和路由</w:t>
      </w:r>
    </w:p>
    <w:p>
      <w:pPr>
        <w:widowControl/>
      </w:pPr>
      <w:r>
        <w:t>101_肝脏外科专病模板库</w:t>
      </w:r>
    </w:p>
    <w:p>
      <w:pPr>
        <w:widowControl/>
      </w:pPr>
      <w:r>
        <w:t>位置：101_肝脏外科专病模板库/101_肝脏外科专病模板库.docx</w:t>
      </w:r>
    </w:p>
    <w:p>
      <w:pPr>
        <w:widowControl/>
      </w:pPr>
      <w:r>
        <w:t>职责：肝脏病变与肝储备</w:t>
      </w:r>
    </w:p>
    <w:p>
      <w:pPr>
        <w:widowControl/>
      </w:pPr>
      <w:r>
        <w:t>102_胆囊胆道外科专病模板库</w:t>
      </w:r>
    </w:p>
    <w:p>
      <w:pPr>
        <w:widowControl/>
      </w:pPr>
      <w:r>
        <w:t>位置：102_胆囊胆道外科专病模板库/102_胆囊胆道外科专病模板库.docx</w:t>
      </w:r>
    </w:p>
    <w:p>
      <w:pPr>
        <w:widowControl/>
      </w:pPr>
      <w:r>
        <w:t>职责：胆囊胆道及黄疸</w:t>
      </w:r>
    </w:p>
    <w:p>
      <w:pPr>
        <w:widowControl/>
      </w:pPr>
      <w:r>
        <w:t>103_胰腺外科专病模板库</w:t>
      </w:r>
    </w:p>
    <w:p>
      <w:pPr>
        <w:widowControl/>
      </w:pPr>
      <w:r>
        <w:t>位置：103_胰腺外科专病模板库/103_胰腺外科专病模板库.docx</w:t>
      </w:r>
    </w:p>
    <w:p>
      <w:pPr>
        <w:widowControl/>
      </w:pPr>
      <w:r>
        <w:t>职责：胰腺炎肿瘤及术后</w:t>
      </w:r>
    </w:p>
    <w:p>
      <w:pPr>
        <w:widowControl/>
      </w:pPr>
      <w:r>
        <w:t>104_脾脏外科及门静脉高压相关外科专病模板库</w:t>
      </w:r>
    </w:p>
    <w:p>
      <w:pPr>
        <w:widowControl/>
      </w:pPr>
      <w:r>
        <w:t>位置：104_脾脏外科及门静脉高压相关外科专病模板库/104_脾脏外科及门静脉高压相关外科专病模板库.docx</w:t>
      </w:r>
    </w:p>
    <w:p>
      <w:pPr>
        <w:widowControl/>
      </w:pPr>
      <w:r>
        <w:t>职责：脾脏与门静脉系统</w:t>
      </w:r>
    </w:p>
    <w:p>
      <w:pPr>
        <w:widowControl/>
      </w:pPr>
      <w:r>
        <w:t>105_胃与十二指肠外科专病模板库</w:t>
      </w:r>
    </w:p>
    <w:p>
      <w:pPr>
        <w:widowControl/>
      </w:pPr>
      <w:r>
        <w:t>位置：105_胃与十二指肠外科专病模板库/105_胃与十二指肠外科专病模板库.docx</w:t>
      </w:r>
    </w:p>
    <w:p>
      <w:pPr>
        <w:widowControl/>
      </w:pPr>
      <w:r>
        <w:t>职责：胃十二指肠</w:t>
      </w:r>
    </w:p>
    <w:p>
      <w:pPr>
        <w:widowControl/>
      </w:pPr>
      <w:r>
        <w:t>106_小肠结肠外科专病模板库</w:t>
      </w:r>
    </w:p>
    <w:p>
      <w:pPr>
        <w:widowControl/>
      </w:pPr>
      <w:r>
        <w:t>位置：106_小肠结肠外科专病模板库/106_小肠结肠外科专病模板库.docx</w:t>
      </w:r>
    </w:p>
    <w:p>
      <w:pPr>
        <w:widowControl/>
      </w:pPr>
      <w:r>
        <w:t>职责：小肠结肠</w:t>
      </w:r>
    </w:p>
    <w:p>
      <w:pPr>
        <w:widowControl/>
      </w:pPr>
      <w:r>
        <w:t>107_直肠肛管及肛周疾病专病模板库</w:t>
      </w:r>
    </w:p>
    <w:p>
      <w:pPr>
        <w:widowControl/>
      </w:pPr>
      <w:r>
        <w:t>位置：107_直肠肛管及肛周疾病专病模板库/107_直肠肛管及肛周疾病专病模板库.docx</w:t>
      </w:r>
    </w:p>
    <w:p>
      <w:pPr>
        <w:widowControl/>
      </w:pPr>
      <w:r>
        <w:t>职责：直肠肛管肛周</w:t>
      </w:r>
    </w:p>
    <w:p>
      <w:pPr>
        <w:widowControl/>
      </w:pPr>
      <w:r>
        <w:t>108_普外科急腹症疝腹壁与腹部创伤专病模板库</w:t>
      </w:r>
    </w:p>
    <w:p>
      <w:pPr>
        <w:widowControl/>
      </w:pPr>
      <w:r>
        <w:t>位置：108_普外科急腹症疝腹壁与腹部创伤专病模板库/108_普外科急腹症疝腹壁与腹部创伤专病模板库.docx</w:t>
      </w:r>
    </w:p>
    <w:p>
      <w:pPr>
        <w:widowControl/>
      </w:pPr>
      <w:r>
        <w:t>职责：急腹症疝腹壁创伤</w:t>
      </w:r>
    </w:p>
    <w:p>
      <w:bookmarkStart w:id="2" w:name="s2"/>
      <w:pPr>
        <w:pStyle w:val="Heading1"/>
      </w:pPr>
      <w:r>
        <w:t>可执行调用算法</w:t>
      </w:r>
      <w:bookmarkEnd w:id="2"/>
    </w:p>
    <w:p>
      <w:pPr>
        <w:widowControl/>
      </w:pPr>
      <w:r>
        <w:t>读取任务与资料→核对住院号和本次住院标识→逐条建立事实及来源时间→判断疾病证据和手术状态→选择功能模块和一个主专病模块→必要时添加相关专病及异常模块→仅用可用事实填槽→10审查→输出正文。检查、处置均区分提出、医师决定、医嘱开立与实际执行。资料不足优先提出最少必要问题；非关键缺项可省略并在框外说明；身份、实际术式、关键药物或病理冲突阻断净稿。</w:t>
      </w:r>
    </w:p>
    <w:p>
      <w:pPr>
        <w:widowControl/>
      </w:pPr>
      <w:r>
        <w:t>入口先识别文书类型、患者、解剖位置、疾病证据、手术事件、记录时点和医师层级；不是只按关键词猜病名。</w:t>
      </w:r>
    </w:p>
    <w:p>
      <w:pPr>
        <w:widowControl/>
      </w:pPr>
      <w:r>
        <w:t>胆囊切除术后第一天主任查房：01＋11＋02＋05＋08＋102＋10</w:t>
      </w:r>
    </w:p>
    <w:p>
      <w:pPr>
        <w:widowControl/>
      </w:pPr>
      <w:r>
        <w:t>胰十二指肠切除术后第二天病程：01＋11＋02＋05＋07＋103＋10</w:t>
      </w:r>
    </w:p>
    <w:p>
      <w:pPr>
        <w:widowControl/>
      </w:pPr>
      <w:r>
        <w:t>胃癌病理回报主任查房：01＋11＋02＋04＋08＋105＋10</w:t>
      </w:r>
    </w:p>
    <w:p>
      <w:pPr>
        <w:widowControl/>
      </w:pPr>
      <w:r>
        <w:t>直肠癌吻合口漏待排病程：01＋11＋02＋06＋107＋10</w:t>
      </w:r>
    </w:p>
    <w:p>
      <w:pPr>
        <w:widowControl/>
      </w:pPr>
      <w:r>
        <w:t>肝胆胰脾CT报告分析：01＋11＋04＋相关专病＋10</w:t>
      </w:r>
    </w:p>
    <w:p>
      <w:pPr>
        <w:widowControl/>
      </w:pPr>
      <w:r>
        <w:t>肛周脓肿切开引流术后：01＋11＋02＋05＋09＋107＋10</w:t>
      </w:r>
    </w:p>
    <w:p>
      <w:pPr>
        <w:widowControl/>
      </w:pPr>
      <w:r>
        <w:t>多个器官同时患病，选择当前问题为主模块，相关器官仅增加差异内容；06负责异常事件，专病库补充器官解释，02只保留一次正文结构。</w:t>
      </w:r>
    </w:p>
    <w:p>
      <w:bookmarkStart w:id="3" w:name="s3"/>
      <w:pPr>
        <w:pStyle w:val="Heading1"/>
      </w:pPr>
      <w:r>
        <w:t>正式医学文书代码框输出完整规范</w:t>
      </w:r>
      <w:bookmarkEnd w:id="3"/>
    </w:p>
    <w:p>
      <w:pPr>
        <w:widowControl/>
      </w:pPr>
      <w:r>
        <w:t>所有正式医学文书：标题与记录日期时间置于Markdown text代码框之外；框内只放可复制到电子病历正文栏的实际医学正文。不放记录日期、记录时间、文书标题、多余标签、解释、提示、AI分析过程或待核实问题。日常病程、主治医师查房、副主任医师查房、主任医师查房，正文必须连续完整一整段，不留空行、不列条目、不插入多余空格；不得删减必要临床内容来凑单段。入院、首次病程、术前小结、出院、风险等文书按法定或院内栏目保留必要项目结构，正文同样置于text代码框内。禁止“根据昨天查房记录”“结合前一天的查体情况”“根据用户上传的图片”“根据之前的病历”“AI分析认为”等过渡语。关键事实未核实，问题放框外，不能以隐瞒缺项换取可复制净稿。正文中有临床意义的事件日期、给药时间、手术时间及检验采样时间仍须保留；禁止的是重复的文书标题与记录时间行，不得删除抢救事件时间轴。模板中的方括号均为编写槽位，只供构造规则使用；实际输出不得带未填槽位、“有/无”双选或未经核实的默认正常结果。</w:t>
      </w:r>
    </w:p>
    <w:p>
      <w:bookmarkStart w:id="4" w:name="s4"/>
      <w:pPr>
        <w:pStyle w:val="Heading1"/>
      </w:pPr>
      <w:r>
        <w:t>原资料迁移依据</w:t>
      </w:r>
      <w:bookmarkEnd w:id="4"/>
    </w:p>
    <w:p>
      <w:pPr>
        <w:widowControl/>
      </w:pPr>
      <w:r>
        <w:t>来源：普外科指令库/普外科病历助手总目录＋模块索引＋快速调用手册.docx，正文段落索引1465至1498（包含空段的提取序号）。以下为核对用原规则节选，不是患者文书；旧编号、旧格式和未加槽位的通用正常描述不再执行，统一由01和本模块新规则替代。</w:t>
      </w:r>
    </w:p>
    <w:p>
      <w:pPr>
        <w:widowControl/>
      </w:pPr>
      <w:r>
        <w:t>第十一部分：文件之间冲突时的优先级；八十六、优先级顺序；第1优先级：；患者真实资料。；第2优先级：；用户对同一患者最新明确更正。；第3优先级：；实际完成手术记录。；第4优先级：；正式病理和明确检查结果。；第5优先级：；最新上级医师明确临床结论。；第6优先级：；当前治疗状态。；第7优先级：；专病模板。；第8优先级：；术式模板。；第9优先级：；其他通用模板。；任何模板不得覆盖真实临床事实。</w:t>
      </w:r>
    </w:p>
    <w:p>
      <w:pPr>
        <w:widowControl/>
      </w:pPr>
      <w:r>
        <w:t>迁移结果：保留本节的采集维度与动态分析逻辑；删去原总目录的13/14文件路由和甲乳专病路由，编号改用00—11及101—108；标准正常状态全部改为有来源的事实槽位。</w:t>
      </w:r>
    </w:p>
    <w:p>
      <w:bookmarkStart w:id="5" w:name="s5"/>
      <w:pPr>
        <w:pStyle w:val="Heading1"/>
      </w:pPr>
      <w:r>
        <w:t>原14份资料读取与迁移登记</w:t>
      </w:r>
      <w:bookmarkEnd w:id="5"/>
    </w:p>
    <w:p>
      <w:pPr>
        <w:widowControl/>
      </w:pPr>
      <w:r>
        <w:t>已对现有14份Word提取正文和段落结构，核对并迁移相关章节；未进行临床权威背书。甲状腺、乳腺两份可访问，完成范围识别后排除专病内容。原“普外科模板库.docx”承载总指令与大量基础文书，无同名“完整版总指令”独立文件，按实际文件处理，不伪称找到同名文件。</w:t>
      </w:r>
    </w:p>
    <w:p>
      <w:pPr>
        <w:widowControl/>
      </w:pPr>
      <w:r>
        <w:t>普外科抗菌药物、VTE、营养支持、输血及围手术期治疗决策文书模板库.docx：13948字；按正文主题迁移，来源段落见各模块迁移依据</w:t>
      </w:r>
    </w:p>
    <w:p>
      <w:pPr>
        <w:widowControl/>
      </w:pPr>
      <w:r>
        <w:t>普外科检验、影像、病理及特殊检查结果分析专项模板库.docx：17246字；按正文主题迁移，来源段落见各模块迁移依据</w:t>
      </w:r>
    </w:p>
    <w:p>
      <w:pPr>
        <w:widowControl/>
      </w:pPr>
      <w:r>
        <w:t>乳腺外科专病模板库.docx：20501字；专病内容排除，仅保留跨科会诊能力</w:t>
      </w:r>
    </w:p>
    <w:p>
      <w:pPr>
        <w:widowControl/>
      </w:pPr>
      <w:r>
        <w:t>胃肠及急腹症专病模板库.docx：16628字；按正文主题迁移，来源段落见各模块迁移依据</w:t>
      </w:r>
    </w:p>
    <w:p>
      <w:pPr>
        <w:widowControl/>
      </w:pPr>
      <w:r>
        <w:t>普外科病历助手总目录＋模块索引＋快速调用手册.docx：12581字；按正文主题迁移，来源段落见各模块迁移依据</w:t>
      </w:r>
    </w:p>
    <w:p>
      <w:pPr>
        <w:widowControl/>
      </w:pPr>
      <w:r>
        <w:t>普外科常见术后并发症与异常病情病程模板库.docx：14607字；按正文主题迁移，来源段落见各模块迁移依据</w:t>
      </w:r>
    </w:p>
    <w:p>
      <w:pPr>
        <w:widowControl/>
      </w:pPr>
      <w:r>
        <w:t>普外科病历质控.docx：15087字；按正文主题迁移，来源段落见各模块迁移依据</w:t>
      </w:r>
    </w:p>
    <w:p>
      <w:pPr>
        <w:widowControl/>
      </w:pPr>
      <w:r>
        <w:t>普外科AI病历调用路由与自动选择规则库.docx：14725字；按正文主题迁移，来源段落见各模块迁移依据</w:t>
      </w:r>
    </w:p>
    <w:p>
      <w:pPr>
        <w:widowControl/>
      </w:pPr>
      <w:r>
        <w:t>疝与腹壁、肛肠外科专病模板库.docx：17645字；按正文主题迁移，来源段落见各模块迁移依据</w:t>
      </w:r>
    </w:p>
    <w:p>
      <w:pPr>
        <w:widowControl/>
      </w:pPr>
      <w:r>
        <w:t>普外科高频手术术式与围手术期文书模板库.docx：12204字；按正文主题迁移，来源段落见各模块迁移依据</w:t>
      </w:r>
    </w:p>
    <w:p>
      <w:pPr>
        <w:widowControl/>
      </w:pPr>
      <w:r>
        <w:t>普外科模板库.docx：42141字；按正文主题迁移，来源段落见各模块迁移依据</w:t>
      </w:r>
    </w:p>
    <w:p>
      <w:pPr>
        <w:widowControl/>
      </w:pPr>
      <w:r>
        <w:t>甲状腺与甲状旁腺外科专病模板库.docx：19035字；专病内容排除，仅保留跨科会诊能力</w:t>
      </w:r>
    </w:p>
    <w:p>
      <w:pPr>
        <w:widowControl/>
      </w:pPr>
      <w:r>
        <w:t>普外科创伤、体表肿物、软组织感染及特殊病例模板库.docx：16729字；按正文主题迁移，来源段落见各模块迁移依据</w:t>
      </w:r>
    </w:p>
    <w:p>
      <w:pPr>
        <w:widowControl/>
      </w:pPr>
      <w:r>
        <w:t>肝胆胰脾外科专病模板库.docx：14364字；按正文主题迁移，来源段落见各模块迁移依据</w:t>
      </w:r>
    </w:p>
    <w:p>
      <w:pPr>
        <w:widowControl/>
      </w:pPr>
      <w:r>
        <w:t>骨科V2.0按本次指令采用相同的00、01／02—11／101—108三级编号；不迁入骨科临床内容。</w:t>
      </w:r>
    </w:p>
    <w:p>
      <w:bookmarkStart w:id="6" w:name="s6"/>
      <w:pPr>
        <w:pStyle w:val="Heading1"/>
      </w:pPr>
      <w:r>
        <w:t>临床模拟示例 统一入口路由</w:t>
      </w:r>
      <w:bookmarkEnd w:id="6"/>
    </w:p>
    <w:p>
      <w:pPr>
        <w:widowControl/>
      </w:pPr>
      <w:r>
        <w:t>模拟请求“胆囊切除术后第1天主任查房”，住院号SIM-A，登记手术日2026-10-25，记录日2026-10-26；选择01＋11＋02＋05＋08＋102＋10，不加载全部20模块。</w:t>
      </w:r>
    </w:p>
    <w:p>
      <w:bookmarkStart w:id="7" w:name="s7"/>
      <w:pPr>
        <w:pStyle w:val="Heading1"/>
      </w:pPr>
      <w:r>
        <w:t>事实边界 常见错误及最终质量控制</w:t>
      </w:r>
      <w:bookmarkEnd w:id="7"/>
    </w:p>
    <w:p>
      <w:pPr>
        <w:widowControl/>
      </w:pPr>
      <w:r>
        <w:t>患者实际资料优先于模板；01为本系统最高执行规则。事实分为已核实、待核实、相互冲突、明确未做、未提供五态；未提供不等于阴性。不得编造症状、体征、生命体征、腹部查体、检验、影像、内镜、病理、分期、手术与麻醉、术中经过、出血输血、吻合与切缘、清扫范围、管道数量位置及量、排气排便、饮食、药物执行、并发症、会诊、医患意愿、沟通同意或医师实际意见。稳定背景可以继承；当日症状、查体、管道流量和生命体征必须由当日或注明时间的资料支撑。历史异常应注明历史时间，不能无声变为今日体征。</w:t>
      </w:r>
    </w:p>
    <w:p>
      <w:pPr>
        <w:widowControl/>
      </w:pPr>
      <w:r>
        <w:t>本模块常见错误：将知识写成已治疗、模板默认正常、旧资料当今日、新病理写入旧记录、管道和停药状态遗漏。执行前核住院身份及任务，填充时逐句核来源，输出前联10检查事实、诊断、状态、时序及格式。正式输出统一执行01的text代码框规则。</w:t>
      </w:r>
    </w:p>
    <w:p>
      <w:bookmarkStart w:id="8" w:name="s8"/>
      <w:pPr>
        <w:pStyle w:val="Heading1"/>
      </w:pPr>
      <w:r>
        <w:t>与其他模块的协同关系</w:t>
      </w:r>
      <w:bookmarkEnd w:id="8"/>
    </w:p>
    <w:p>
      <w:pPr>
        <w:widowControl/>
      </w:pPr>
      <w:r>
        <w:t>读取任务与资料→核对住院号和本次住院标识→逐条建立事实及来源时间→判断疾病证据和手术状态→选择功能模块和一个主专病模块→必要时添加相关专病及异常模块→仅用可用事实填槽→10审查→输出正文。检查、处置均区分提出、医师决定、医嘱开立与实际执行。资料不足优先提出最少必要问题；非关键缺项可省略并在框外说明；身份、实际术式、关键药物或病理冲突阻断净稿。</w:t>
      </w:r>
    </w:p>
    <w:p>
      <w:pPr>
        <w:widowControl/>
      </w:pPr>
      <w:r>
        <w:t>统一索引见00_普外科AI病历系统总入口与模块调用索引；最高规则见01_普外科病历书写助手最高执行指令；病例状态见11_普外科AI自动调用路由与病例状态管理规则库；最终审查见10_普外科病历最终质控诊断修正及时间轴一致性审查库。</w:t>
      </w:r>
    </w:p>
    <w:p>
      <w:bookmarkStart w:id="9" w:name="s9"/>
      <w:pPr>
        <w:pStyle w:val="Heading1"/>
      </w:pPr>
      <w:r>
        <w:t>参考指南 版本与核验范围</w:t>
      </w:r>
      <w:bookmarkEnd w:id="9"/>
    </w:p>
    <w:p>
      <w:pPr>
        <w:widowControl/>
      </w:pPr>
      <w:r>
        <w:t>核验日期：2026年10月26日。以下记录实际核验层级，不将书目或摘要核验冒称全文逐条审查，不宣称已穷尽所有现行指南。中国法规和院内流程作为病历管理依据；国际指南作为专科定义或补充，不能替代中国处方、准入和知情同意要求。未核验的评分、精确阈值、药物剂量或推荐强度不自动生成；适用时需补查原文和院内制度。</w:t>
      </w:r>
    </w:p>
    <w:p>
      <w:pPr>
        <w:widowControl/>
      </w:pPr>
      <w:r>
        <w:t>病历书写基本规范｜原卫生部｜2010</w:t>
      </w:r>
    </w:p>
    <w:p>
      <w:pPr>
        <w:widowControl/>
      </w:pPr>
      <w:r>
        <w:t>适用：全模块；客观真实与记录项目、时限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来源：https://www.nhc.gov.cn/bgt/s10696/201002/8cd7d4d70f4b42da839d2428dcbf723c.shtml</w:t>
      </w:r>
    </w:p>
    <w:p>
      <w:pPr>
        <w:widowControl/>
      </w:pPr>
      <w:r>
        <w:t>核验日期：2026-10-26</w:t>
      </w:r>
    </w:p>
    <w:p>
      <w:pPr>
        <w:widowControl/>
      </w:pPr>
      <w:r>
        <w:t>医疗质量安全核心制度要点｜国家卫生健康委员会｜2018</w:t>
      </w:r>
    </w:p>
    <w:p>
      <w:pPr>
        <w:widowControl/>
      </w:pPr>
      <w:r>
        <w:t>适用：查房、会诊、手术讨论、危急值与交接</w:t>
      </w:r>
    </w:p>
    <w:p>
      <w:pPr>
        <w:widowControl/>
      </w:pPr>
      <w:r>
        <w:t>核验层级：官方通知及制度</w:t>
      </w:r>
    </w:p>
    <w:p>
      <w:pPr>
        <w:widowControl/>
      </w:pPr>
      <w:r>
        <w:t>来源：https://www.nhc.gov.cn/yzygj/c100068/201804/42ab2552298047679cd6ec733f233862.shtml</w:t>
      </w:r>
    </w:p>
    <w:p>
      <w:pPr>
        <w:widowControl/>
      </w:pPr>
      <w:r>
        <w:t>核验日期：2026-10-26</w:t>
      </w:r>
    </w:p>
    <w:p>
      <w:pPr>
        <w:widowControl/>
      </w:pPr>
      <w:r>
        <w:t>电子病历应用管理规范 试行｜原国家卫生计生委 国家中医药管理局｜2017</w:t>
      </w:r>
    </w:p>
    <w:p>
      <w:pPr>
        <w:widowControl/>
      </w:pPr>
      <w:r>
        <w:t>适用：电子病历权限、修改留痕与签名</w:t>
      </w:r>
    </w:p>
    <w:p>
      <w:pPr>
        <w:widowControl/>
      </w:pPr>
      <w:r>
        <w:t>核验层级：官方正文</w:t>
      </w:r>
    </w:p>
    <w:p>
      <w:pPr>
        <w:widowControl/>
      </w:pPr>
      <w:r>
        <w:t>来源：https://www.nhc.gov.cn/wjw/c100175/201702/90f3de8ae03d488cbddf509dc958f75b.shtml</w:t>
      </w:r>
    </w:p>
    <w:p>
      <w:pPr>
        <w:widowControl/>
      </w:pPr>
      <w:r>
        <w:t>核验日期：2026-10-26</w:t>
      </w:r>
    </w:p>
    <w:p>
      <w:pPr>
        <w:widowControl/>
      </w:pPr>
      <w:r>
        <w:t>原发性肝癌诊疗指南｜国家卫生健康委员会医政司｜2026</w:t>
      </w:r>
    </w:p>
    <w:p>
      <w:pPr>
        <w:widowControl/>
      </w:pPr>
      <w:r>
        <w:t>适用：肝细胞癌的诊断与分期路径；不外推到所有肝肿瘤</w:t>
      </w:r>
    </w:p>
    <w:p>
      <w:pPr>
        <w:widowControl/>
      </w:pPr>
      <w:r>
        <w:t>核验层级：官方发布信息；另核验原文期刊页面 https://xhyxzz.pumch.cn/article/doi/10.12290/xhyxzz.2026-0487?viewType=HTML</w:t>
      </w:r>
    </w:p>
    <w:p>
      <w:pPr>
        <w:widowControl/>
      </w:pPr>
      <w:r>
        <w:t>来源：https://www.nhc.gov.cn/cms-search/xxgk/getManuscriptXxgk.htm?id=3371c9cb2f7f4f55b18c709ff2c53ab8</w:t>
      </w:r>
    </w:p>
    <w:p>
      <w:pPr>
        <w:widowControl/>
      </w:pPr>
      <w:r>
        <w:t>核验日期：2026-10-26</w:t>
      </w:r>
    </w:p>
    <w:p>
      <w:pPr>
        <w:widowControl/>
      </w:pPr>
      <w:r>
        <w:t>胃癌诊疗指南｜国家卫生健康委员会｜2022</w:t>
      </w:r>
    </w:p>
    <w:p>
      <w:pPr>
        <w:widowControl/>
      </w:pPr>
      <w:r>
        <w:t>适用：胃癌病理、临床分期及外科综合评估</w:t>
      </w:r>
    </w:p>
    <w:p>
      <w:pPr>
        <w:widowControl/>
      </w:pPr>
      <w:r>
        <w:t>核验层级：官方PDF及发布通知；不是最新版本的无条件声明</w:t>
      </w:r>
    </w:p>
    <w:p>
      <w:pPr>
        <w:widowControl/>
      </w:pPr>
      <w:r>
        <w:t>来源：https://www.nhc.gov.cn/yzygj/c100068/202204/0c1f7d3aca0545abbeb02030ce255930/files/1732863054755_83603.pdf</w:t>
      </w:r>
    </w:p>
    <w:p>
      <w:pPr>
        <w:widowControl/>
      </w:pPr>
      <w:r>
        <w:t>核验日期：2026-10-26</w:t>
      </w:r>
    </w:p>
    <w:p>
      <w:pPr>
        <w:widowControl/>
      </w:pPr>
      <w:r>
        <w:t>胰腺癌诊疗指南｜国家卫生健康委员会｜2022</w:t>
      </w:r>
    </w:p>
    <w:p>
      <w:pPr>
        <w:widowControl/>
      </w:pPr>
      <w:r>
        <w:t>适用：胰腺癌影像、血管关系、MDT可切除性评估</w:t>
      </w:r>
    </w:p>
    <w:p>
      <w:pPr>
        <w:widowControl/>
      </w:pPr>
      <w:r>
        <w:t>核验层级：官方PDF及发布通知</w:t>
      </w:r>
    </w:p>
    <w:p>
      <w:pPr>
        <w:widowControl/>
      </w:pPr>
      <w:r>
        <w:t>来源：https://www.nhc.gov.cn/cms-search/downFiles/0ed82a23691e45babd217538aca97911.pdf</w:t>
      </w:r>
    </w:p>
    <w:p>
      <w:pPr>
        <w:widowControl/>
      </w:pPr>
      <w:r>
        <w:t>核验日期：2026-10-26</w:t>
      </w:r>
    </w:p>
    <w:p>
      <w:pPr>
        <w:widowControl/>
      </w:pPr>
      <w:r>
        <w:t>中国结直肠癌诊疗规范 精简版｜国家卫生健康委员会医政司委托 中华医学会肿瘤学分会组织｜2025</w:t>
      </w:r>
    </w:p>
    <w:p>
      <w:pPr>
        <w:widowControl/>
      </w:pPr>
      <w:r>
        <w:t>适用：结直肠癌定位、分期与MDT；精简版不代替全部细则</w:t>
      </w:r>
    </w:p>
    <w:p>
      <w:pPr>
        <w:widowControl/>
      </w:pPr>
      <w:r>
        <w:t>核验层级：期刊原文；发布背景见北京市卫健委2025年12月15日公告</w:t>
      </w:r>
    </w:p>
    <w:p>
      <w:pPr>
        <w:widowControl/>
      </w:pPr>
      <w:r>
        <w:t>来源：https://zhlcyszz.cma-cmc.com.cn/CN/abstract/article/1674-0785/43075</w:t>
      </w:r>
    </w:p>
    <w:p>
      <w:pPr>
        <w:widowControl/>
      </w:pPr>
      <w:r>
        <w:t>核验日期：2026-10-26</w:t>
      </w:r>
    </w:p>
    <w:p>
      <w:pPr>
        <w:widowControl/>
      </w:pPr>
      <w:r>
        <w:t>Tokyo Guidelines 急性胆管炎与胆囊炎｜JSHBPS TG18工作组｜2018</w:t>
      </w:r>
    </w:p>
    <w:p>
      <w:pPr>
        <w:widowControl/>
      </w:pPr>
      <w:r>
        <w:t>适用：诊断结构与严重程度的器官功能依据</w:t>
      </w:r>
    </w:p>
    <w:p>
      <w:pPr>
        <w:widowControl/>
      </w:pPr>
      <w:r>
        <w:t>核验层级：学会原始指南目录及诊断原文 DOI 10.1002/jhbp.512 和10.1002/jhbp.515</w:t>
      </w:r>
    </w:p>
    <w:p>
      <w:pPr>
        <w:widowControl/>
      </w:pPr>
      <w:r>
        <w:t>来源：https://www.jshbps.jp/modules/en/index.php?content_id=47</w:t>
      </w:r>
    </w:p>
    <w:p>
      <w:pPr>
        <w:widowControl/>
      </w:pPr>
      <w:r>
        <w:t>核验日期：2026-10-26</w:t>
      </w:r>
    </w:p>
    <w:p>
      <w:pPr>
        <w:widowControl/>
      </w:pPr>
      <w:r>
        <w:t>中国急性胰腺炎诊治指南｜中华医学会外科学分会胰腺外科学组｜2021</w:t>
      </w:r>
    </w:p>
    <w:p>
      <w:pPr>
        <w:widowControl/>
      </w:pPr>
      <w:r>
        <w:t>适用：胰腺炎诊断、局部并发症及外科阶梯治疗</w:t>
      </w:r>
    </w:p>
    <w:p>
      <w:pPr>
        <w:widowControl/>
      </w:pPr>
      <w:r>
        <w:t>核验层级：原始指南摘要与书目信息</w:t>
      </w:r>
    </w:p>
    <w:p>
      <w:pPr>
        <w:widowControl/>
      </w:pPr>
      <w:r>
        <w:t>来源：https://pubmed.ncbi.nlm.nih.gov/34256457/</w:t>
      </w:r>
    </w:p>
    <w:p>
      <w:pPr>
        <w:widowControl/>
      </w:pPr>
      <w:r>
        <w:t>核验日期：2026-10-26</w:t>
      </w:r>
    </w:p>
    <w:p>
      <w:pPr>
        <w:widowControl/>
      </w:pPr>
      <w:r>
        <w:t>Management of Acute Pancreatitis｜ACG｜2024</w:t>
      </w:r>
    </w:p>
    <w:p>
      <w:pPr>
        <w:widowControl/>
      </w:pPr>
      <w:r>
        <w:t>适用：胰腺炎诊疗补充；与中国2021指南分别注明背景</w:t>
      </w:r>
    </w:p>
    <w:p>
      <w:pPr>
        <w:widowControl/>
      </w:pPr>
      <w:r>
        <w:t>核验层级：原始指南摘要和书目</w:t>
      </w:r>
    </w:p>
    <w:p>
      <w:pPr>
        <w:widowControl/>
      </w:pPr>
      <w:r>
        <w:t>来源：https://pubmed.ncbi.nlm.nih.gov/38857482/</w:t>
      </w:r>
    </w:p>
    <w:p>
      <w:pPr>
        <w:widowControl/>
      </w:pPr>
      <w:r>
        <w:t>核验日期：2026-10-26</w:t>
      </w:r>
    </w:p>
    <w:p>
      <w:pPr>
        <w:widowControl/>
      </w:pPr>
      <w:r>
        <w:t>ISGPS postoperative pancreatic fistula 2016 update｜ISGPS｜2016更新 2017发表</w:t>
      </w:r>
    </w:p>
    <w:p>
      <w:pPr>
        <w:widowControl/>
      </w:pPr>
      <w:r>
        <w:t>适用：胰瘘与生化漏区分及B C级</w:t>
      </w:r>
    </w:p>
    <w:p>
      <w:pPr>
        <w:widowControl/>
      </w:pPr>
      <w:r>
        <w:t>核验层级：原始共识摘要及公开全文</w:t>
      </w:r>
    </w:p>
    <w:p>
      <w:pPr>
        <w:widowControl/>
      </w:pPr>
      <w:r>
        <w:t>来源：https://pubmed.ncbi.nlm.nih.gov/28040257/</w:t>
      </w:r>
    </w:p>
    <w:p>
      <w:pPr>
        <w:widowControl/>
      </w:pPr>
      <w:r>
        <w:t>核验日期：2026-10-26</w:t>
      </w:r>
    </w:p>
    <w:p>
      <w:pPr>
        <w:widowControl/>
      </w:pPr>
      <w:r>
        <w:t>ISGLS posthepatectomy liver failure definition and grading｜ISGLS｜2011</w:t>
      </w:r>
    </w:p>
    <w:p>
      <w:pPr>
        <w:widowControl/>
      </w:pPr>
      <w:r>
        <w:t>适用：术后第5日及以后INR与胆红素同步异常及管理分级</w:t>
      </w:r>
    </w:p>
    <w:p>
      <w:pPr>
        <w:widowControl/>
      </w:pPr>
      <w:r>
        <w:t>核验层级：原始共识摘要</w:t>
      </w:r>
    </w:p>
    <w:p>
      <w:pPr>
        <w:widowControl/>
      </w:pPr>
      <w:r>
        <w:t>来源：https://pubmed.ncbi.nlm.nih.gov/21236455/</w:t>
      </w:r>
    </w:p>
    <w:p>
      <w:pPr>
        <w:widowControl/>
      </w:pPr>
      <w:r>
        <w:t>核验日期：2026-10-26</w:t>
      </w:r>
    </w:p>
    <w:p>
      <w:pPr>
        <w:widowControl/>
      </w:pPr>
      <w:r>
        <w:t>ISGLS bile leakage definition and grading｜ISGLS｜2011</w:t>
      </w:r>
    </w:p>
    <w:p>
      <w:pPr>
        <w:widowControl/>
      </w:pPr>
      <w:r>
        <w:t>适用：胆漏的引流液血清胆红素比值与干预分级</w:t>
      </w:r>
    </w:p>
    <w:p>
      <w:pPr>
        <w:widowControl/>
      </w:pPr>
      <w:r>
        <w:t>核验层级：原始论文机构库摘要 DOI 10.1016/j.surg.2010.12.002</w:t>
      </w:r>
    </w:p>
    <w:p>
      <w:pPr>
        <w:widowControl/>
      </w:pPr>
      <w:r>
        <w:t>来源：https://digital.library.adelaide.edu.au/items/73a3f58d-4f4d-440e-b76b-d1e28a4ba3bb</w:t>
      </w:r>
    </w:p>
    <w:p>
      <w:pPr>
        <w:widowControl/>
      </w:pPr>
      <w:r>
        <w:t>核验日期：2026-10-26</w:t>
      </w:r>
    </w:p>
    <w:p>
      <w:pPr>
        <w:widowControl/>
      </w:pPr>
      <w:r>
        <w:t>ISREC rectal anastomotic leakage definition and grading｜ISREC｜2010</w:t>
      </w:r>
    </w:p>
    <w:p>
      <w:pPr>
        <w:widowControl/>
      </w:pPr>
      <w:r>
        <w:t>适用：直肠前切除吻合口漏定义和A B C级；不直接外推所有胃肠吻合</w:t>
      </w:r>
    </w:p>
    <w:p>
      <w:pPr>
        <w:widowControl/>
      </w:pPr>
      <w:r>
        <w:t>核验层级：原始共识摘要</w:t>
      </w:r>
    </w:p>
    <w:p>
      <w:pPr>
        <w:widowControl/>
      </w:pPr>
      <w:r>
        <w:t>来源：https://pubmed.ncbi.nlm.nih.gov/20004450/</w:t>
      </w:r>
    </w:p>
    <w:p>
      <w:pPr>
        <w:widowControl/>
      </w:pPr>
      <w:r>
        <w:t>核验日期：2026-10-26</w:t>
      </w:r>
    </w:p>
    <w:p>
      <w:pPr>
        <w:widowControl/>
      </w:pPr>
      <w:r>
        <w:t>抗菌药物临床应用指导原则｜原国家卫生计生委等｜2015</w:t>
      </w:r>
    </w:p>
    <w:p>
      <w:pPr>
        <w:widowControl/>
      </w:pPr>
      <w:r>
        <w:t>适用：预防与治疗分离、病原学及停药审核</w:t>
      </w:r>
    </w:p>
    <w:p>
      <w:pPr>
        <w:widowControl/>
      </w:pPr>
      <w:r>
        <w:t>核验层级：官方通知；具体药物另核药品说明书和本院耐药数据</w:t>
      </w:r>
    </w:p>
    <w:p>
      <w:pPr>
        <w:widowControl/>
      </w:pPr>
      <w:r>
        <w:t>来源：https://www.nhc.gov.cn/yzygj/c100068/201508/9f7136d6fb034339a7c9348c72a8a1fd.shtml</w:t>
      </w:r>
    </w:p>
    <w:p>
      <w:pPr>
        <w:widowControl/>
      </w:pPr>
      <w:r>
        <w:t>核验日期：2026-10-26</w:t>
      </w:r>
    </w:p>
    <w:p>
      <w:pPr>
        <w:widowControl/>
      </w:pPr>
      <w:r>
        <w:t>中国普通外科围手术期血栓预防与管理指南｜中华医学会外科学分会｜2016发表 2015制定</w:t>
      </w:r>
    </w:p>
    <w:p>
      <w:pPr>
        <w:widowControl/>
      </w:pPr>
      <w:r>
        <w:t>适用：中国普外科VTE和出血双评估框架</w:t>
      </w:r>
    </w:p>
    <w:p>
      <w:pPr>
        <w:widowControl/>
      </w:pPr>
      <w:r>
        <w:t>核验层级：学会期刊正文；不称最新</w:t>
      </w:r>
    </w:p>
    <w:p>
      <w:pPr>
        <w:widowControl/>
      </w:pPr>
      <w:r>
        <w:t>来源：https://cmab.yiigle.com/uploads/guide_html/中国普通外科围手术期血栓预防与管理指南.html</w:t>
      </w:r>
    </w:p>
    <w:p>
      <w:pPr>
        <w:widowControl/>
      </w:pPr>
      <w:r>
        <w:t>核验日期：2026-10-26</w:t>
      </w:r>
    </w:p>
    <w:p>
      <w:pPr>
        <w:widowControl/>
      </w:pPr>
      <w:r>
        <w:t>European guidelines on peri operative VTE prophylaxis First update｜ESAIC等｜2024</w:t>
      </w:r>
    </w:p>
    <w:p>
      <w:pPr>
        <w:widowControl/>
      </w:pPr>
      <w:r>
        <w:t>适用：围术期VTE与出血风险更新补充</w:t>
      </w:r>
    </w:p>
    <w:p>
      <w:pPr>
        <w:widowControl/>
      </w:pPr>
      <w:r>
        <w:t>核验层级：学会目录与原始执行摘要 PMID 38957019</w:t>
      </w:r>
    </w:p>
    <w:p>
      <w:pPr>
        <w:widowControl/>
      </w:pPr>
      <w:r>
        <w:t>来源：https://esaic.org/guideline/perioperative-venous-thromboembolism-prophylaxis/</w:t>
      </w:r>
    </w:p>
    <w:p>
      <w:pPr>
        <w:widowControl/>
      </w:pPr>
      <w:r>
        <w:t>核验日期：2026-10-26</w:t>
      </w:r>
    </w:p>
    <w:p>
      <w:pPr>
        <w:widowControl/>
      </w:pPr>
      <w:r>
        <w:t>ESPEN guideline on clinical nutrition in surgery Update｜ESPEN｜2025</w:t>
      </w:r>
    </w:p>
    <w:p>
      <w:pPr>
        <w:widowControl/>
      </w:pPr>
      <w:r>
        <w:t>适用：营养筛查、途径与围术期营养监测</w:t>
      </w:r>
    </w:p>
    <w:p>
      <w:pPr>
        <w:widowControl/>
      </w:pPr>
      <w:r>
        <w:t>核验层级：学会PDF；不将营养目标自动转为医嘱</w:t>
      </w:r>
    </w:p>
    <w:p>
      <w:pPr>
        <w:widowControl/>
      </w:pPr>
      <w:r>
        <w:t>来源：https://www.espen.org/files/ESPEN-guideline-on-clinical-nutrition-in-surgery-Update-2025.pdf</w:t>
      </w:r>
    </w:p>
    <w:p>
      <w:pPr>
        <w:widowControl/>
      </w:pPr>
      <w:r>
        <w:t>核验日期：2026-10-26</w:t>
      </w:r>
    </w:p>
    <w:p>
      <w:pPr>
        <w:widowControl/>
      </w:pPr>
      <w:r>
        <w:t>ERAS liver surgery recommendations｜ERAS Society｜2022</w:t>
      </w:r>
    </w:p>
    <w:p>
      <w:pPr>
        <w:widowControl/>
      </w:pPr>
      <w:r>
        <w:t>适用：肝手术康复与多模式围术期管理</w:t>
      </w:r>
    </w:p>
    <w:p>
      <w:pPr>
        <w:widowControl/>
      </w:pPr>
      <w:r>
        <w:t>核验层级：原始指南全文</w:t>
      </w:r>
    </w:p>
    <w:p>
      <w:pPr>
        <w:widowControl/>
      </w:pPr>
      <w:r>
        <w:t>来源：https://pmc.ncbi.nlm.nih.gov/articles/PMC9726826/</w:t>
      </w:r>
    </w:p>
    <w:p>
      <w:pPr>
        <w:widowControl/>
      </w:pPr>
      <w:r>
        <w:t>核验日期：2026-10-26</w:t>
      </w:r>
    </w:p>
    <w:p>
      <w:pPr>
        <w:widowControl/>
      </w:pPr>
      <w:r>
        <w:t>Enhanced recovery after colon and rectal surgery｜ASCRS SAGES｜2023</w:t>
      </w:r>
    </w:p>
    <w:p>
      <w:pPr>
        <w:widowControl/>
      </w:pPr>
      <w:r>
        <w:t>适用：结直肠康复路径和个体化管道饮食管理</w:t>
      </w:r>
    </w:p>
    <w:p>
      <w:pPr>
        <w:widowControl/>
      </w:pPr>
      <w:r>
        <w:t>核验层级：原始指南全文</w:t>
      </w:r>
    </w:p>
    <w:p>
      <w:pPr>
        <w:widowControl/>
      </w:pPr>
      <w:r>
        <w:t>来源：https://pmc.ncbi.nlm.nih.gov/articles/PMC9839829/</w:t>
      </w:r>
    </w:p>
    <w:p>
      <w:pPr>
        <w:widowControl/>
      </w:pPr>
      <w:r>
        <w:t>核验日期：2026-10-26</w:t>
      </w:r>
    </w:p>
    <w:p>
      <w:pPr>
        <w:widowControl/>
      </w:pPr>
      <w:r>
        <w:t>Management of Hemorrhoids｜ASCRS｜2024</w:t>
      </w:r>
    </w:p>
    <w:p>
      <w:pPr>
        <w:widowControl/>
      </w:pPr>
      <w:r>
        <w:t>适用：痔病诊断与手术适应性补充</w:t>
      </w:r>
    </w:p>
    <w:p>
      <w:pPr>
        <w:widowControl/>
      </w:pPr>
      <w:r>
        <w:t>核验层级：原始指南摘要及学会PDF</w:t>
      </w:r>
    </w:p>
    <w:p>
      <w:pPr>
        <w:widowControl/>
      </w:pPr>
      <w:r>
        <w:t>来源：https://pubmed.ncbi.nlm.nih.gov/38294832/</w:t>
      </w:r>
    </w:p>
    <w:p>
      <w:pPr>
        <w:widowControl/>
      </w:pPr>
      <w:r>
        <w:t>核验日期：2026-10-26</w:t>
      </w:r>
    </w:p>
    <w:p>
      <w:pPr>
        <w:widowControl/>
      </w:pPr>
      <w:r>
        <w:t>Management of Anorectal Abscess Fistula in Ano and Rectovaginal Fistula｜ASCRS｜2022</w:t>
      </w:r>
    </w:p>
    <w:p>
      <w:pPr>
        <w:widowControl/>
      </w:pPr>
      <w:r>
        <w:t>适用：脓肿引流与括约肌保护的个体化决策</w:t>
      </w:r>
    </w:p>
    <w:p>
      <w:pPr>
        <w:widowControl/>
      </w:pPr>
      <w:r>
        <w:t>核验层级：原始指南摘要及学会PDF</w:t>
      </w:r>
    </w:p>
    <w:p>
      <w:pPr>
        <w:widowControl/>
      </w:pPr>
      <w:r>
        <w:t>来源：https://pubmed.ncbi.nlm.nih.gov/35732009/</w:t>
      </w:r>
    </w:p>
    <w:p>
      <w:pPr>
        <w:widowControl/>
      </w:pPr>
      <w:r>
        <w:t>核验日期：2026-10-26</w:t>
      </w:r>
    </w:p>
    <w:p>
      <w:pPr>
        <w:widowControl/>
      </w:pPr>
      <w:r>
        <w:t>ISGPS胰瘘原文有2024年勘误，已核对系作者姓名更正，未改变临床定义：PMID 38926000，DOI 10.1016/j.surg.2024.05.043。版本更新应登记变更来源、影响路径、审核者与回归测试；未完成验证不替换已批准院内路径。</w:t>
      </w:r>
    </w:p>
    <w:p>
      <w:bookmarkStart w:id="10" w:name="s10"/>
      <w:pPr>
        <w:pStyle w:val="Heading1"/>
      </w:pPr>
      <w:r>
        <w:t>正式文书构造示范</w:t>
      </w:r>
      <w:bookmarkEnd w:id="10"/>
    </w:p>
    <w:p>
      <w:pPr>
        <w:keepNext/>
        <w:widowControl/>
      </w:pPr>
      <w:r>
        <w:t>[记录日期及时间] 日常病程记录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```text</w:t>
      </w:r>
    </w:p>
    <w:p>
      <w:pPr>
        <w:keepNext/>
        <w:keepLines/>
        <w:widowControl/>
        <w:spacing w:after="40" w:line="276" w:lineRule="auto"/>
      </w:pPr>
      <w:r>
        <w:rPr>
          <w:sz w:val="20"/>
        </w:rPr>
        <w:t>患者今日[实际症状及变化]，查体[当日实查]，辅助检查[当时可用结果及趋势]。目前[有证据支持的判断及未明问题]；[已经执行治疗及效果]，后续[责任医师已确定的计划]。</w:t>
      </w:r>
    </w:p>
    <w:p>
      <w:pPr>
        <w:keepLines/>
        <w:widowControl/>
        <w:spacing w:after="40" w:line="276" w:lineRule="auto"/>
      </w:pPr>
      <w:r>
        <w:rPr>
          <w:sz w:val="20"/>
        </w:rPr>
        <w:t>```</w:t>
      </w:r>
    </w:p>
    <w:p>
      <w:pPr>
        <w:widowControl/>
      </w:pPr>
      <w:r>
        <w:t>该模板说明最终格式；方括号仅是规则槽位，不能原样进入正式净稿。</w:t>
      </w:r>
    </w:p>
    <w:p>
      <w:bookmarkStart w:id="11" w:name="s11"/>
      <w:pPr>
        <w:pStyle w:val="Heading1"/>
      </w:pPr>
      <w:r>
        <w:t>交付建设与验收索引</w:t>
      </w:r>
      <w:bookmarkEnd w:id="11"/>
    </w:p>
    <w:p>
      <w:pPr>
        <w:widowControl/>
      </w:pPr>
      <w:r>
        <w:t>20个模块均有功能、调用条件、医学规则、执行流程、文书模板、模拟示例、事实边界、常见错误、质控、协同和参考版本。02含33类文书；05含41种术式各18节点；06含42类异常；08含14类情境各3层查房；101—108共44条主要专科路径及原要求全部范围条目映射。规则级30项模拟结果见10。Word正文经结构验证；版面和可打开性结果以实际交付检查记录为准。</w:t>
      </w:r>
    </w:p>
    <w:sectPr w:rsidR="00FC693F" w:rsidRPr="0006063C" w:rsidSect="00034616">
      <w:footerReference w:type="default" r:id="rId9"/>
      <w:pgSz w:w="11906" w:h="16838"/>
      <w:pgMar w:top="1191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00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Arial" w:hAnsi="Arial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 w:ascii="Arial" w:hAnsi="Arial" w:eastAsia="Song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00_普外科AI病历系统总入口与模块调用索引</dc:title>
  <dc:subject>普外科医学文书规则与模板</dc:subject>
  <dc:creator/>
  <cp:keywords>V2.0;事实核对;责任医师审核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