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普外科专科检查与腹部体格检查模板库</w:t>
      </w:r>
    </w:p>
    <w:p>
      <w:pPr>
        <w:pStyle w:val="Subtitle"/>
      </w:pPr>
      <w:r>
        <w:t>普外科 肝胆胰脾胃肠肛肠 AI病历书写系统</w:t>
      </w:r>
    </w:p>
    <w:p>
      <w:r>
        <w:t>版本 V2.0</w:t>
        <w:br/>
        <w:t>架构定位 第二级 通用医学文书功能</w:t>
        <w:br/>
        <w:t>建设与核验日期 2026年10月26日</w:t>
        <w:br/>
        <w:t>适用对象 普外科责任医师与病历质控人员</w:t>
      </w:r>
    </w:p>
    <w:p>
      <w:r>
        <w:t>用于辅助整理真实临床资料、形成待责任医师审核的医学文书及质量核查。使用前必须读取01的真实性、证据和治疗状态规则。</w:t>
      </w:r>
    </w:p>
    <w:p>
      <w:pPr>
        <w:pStyle w:val="Heading1"/>
      </w:pPr>
      <w:r>
        <w:t>模块功能与调用条件</w:t>
      </w:r>
    </w:p>
    <w:p>
      <w:r>
        <w:t>本模块只组织当次实际查体，不产生默认正常结果。必要资料为检查时间、检查者、体位、实际操作、所见、受限原因及资料来源。严重疼痛、休克、意识障碍等限制检查时，应明确限制并进入06或108。</w:t>
      </w:r>
    </w:p>
    <w:p>
      <w:r>
        <w:t>本模块按00索引由11识别任务后调用；当所需专科资料和事实状态不足时先核对，不自行补全。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  <w:ind w:left="0"/>
      </w:pPr>
      <w:hyperlink w:anchor="s0">
        <w:r>
          <w:t>实查信息采集规则</w:t>
        </w:r>
      </w:hyperlink>
    </w:p>
    <w:p>
      <w:pPr>
        <w:spacing w:after="60"/>
        <w:ind w:left="227"/>
      </w:pPr>
      <w:hyperlink w:anchor="s1">
        <w:r>
          <w:t>一般与营养</w:t>
        </w:r>
      </w:hyperlink>
    </w:p>
    <w:p>
      <w:pPr>
        <w:spacing w:after="60"/>
        <w:ind w:left="227"/>
      </w:pPr>
      <w:hyperlink w:anchor="s2">
        <w:r>
          <w:t>皮肤巩膜与肝胆</w:t>
        </w:r>
      </w:hyperlink>
    </w:p>
    <w:p>
      <w:pPr>
        <w:spacing w:after="60"/>
        <w:ind w:left="227"/>
      </w:pPr>
      <w:hyperlink w:anchor="s3">
        <w:r>
          <w:t>腹部视诊</w:t>
        </w:r>
      </w:hyperlink>
    </w:p>
    <w:p>
      <w:pPr>
        <w:spacing w:after="60"/>
        <w:ind w:left="227"/>
      </w:pPr>
      <w:hyperlink w:anchor="s4">
        <w:r>
          <w:t>腹部触诊</w:t>
        </w:r>
      </w:hyperlink>
    </w:p>
    <w:p>
      <w:pPr>
        <w:spacing w:after="60"/>
        <w:ind w:left="227"/>
      </w:pPr>
      <w:hyperlink w:anchor="s5">
        <w:r>
          <w:t>腹部叩诊与听诊</w:t>
        </w:r>
      </w:hyperlink>
    </w:p>
    <w:p>
      <w:pPr>
        <w:spacing w:after="60"/>
        <w:ind w:left="227"/>
      </w:pPr>
      <w:hyperlink w:anchor="s6">
        <w:r>
          <w:t>脾脏检查</w:t>
        </w:r>
      </w:hyperlink>
    </w:p>
    <w:p>
      <w:pPr>
        <w:spacing w:after="60"/>
        <w:ind w:left="227"/>
      </w:pPr>
      <w:hyperlink w:anchor="s7">
        <w:r>
          <w:t>切口与术后腹部</w:t>
        </w:r>
      </w:hyperlink>
    </w:p>
    <w:p>
      <w:pPr>
        <w:spacing w:after="60"/>
        <w:ind w:left="227"/>
      </w:pPr>
      <w:hyperlink w:anchor="s8">
        <w:r>
          <w:t>管道与胃肠减压</w:t>
        </w:r>
      </w:hyperlink>
    </w:p>
    <w:p>
      <w:pPr>
        <w:spacing w:after="60"/>
        <w:ind w:left="227"/>
      </w:pPr>
      <w:hyperlink w:anchor="s9">
        <w:r>
          <w:t>造口</w:t>
        </w:r>
      </w:hyperlink>
    </w:p>
    <w:p>
      <w:pPr>
        <w:spacing w:after="60"/>
        <w:ind w:left="227"/>
      </w:pPr>
      <w:hyperlink w:anchor="s10">
        <w:r>
          <w:t>腹股沟与腹壁疝</w:t>
        </w:r>
      </w:hyperlink>
    </w:p>
    <w:p>
      <w:pPr>
        <w:spacing w:after="60"/>
        <w:ind w:left="227"/>
      </w:pPr>
      <w:hyperlink w:anchor="s11">
        <w:r>
          <w:t>直肠指检</w:t>
        </w:r>
      </w:hyperlink>
    </w:p>
    <w:p>
      <w:pPr>
        <w:spacing w:after="60"/>
        <w:ind w:left="227"/>
      </w:pPr>
      <w:hyperlink w:anchor="s12">
        <w:r>
          <w:t>肛门视诊与肛门镜</w:t>
        </w:r>
      </w:hyperlink>
    </w:p>
    <w:p>
      <w:pPr>
        <w:spacing w:after="60"/>
        <w:ind w:left="227"/>
      </w:pPr>
      <w:hyperlink w:anchor="s13">
        <w:r>
          <w:t>肛周包块脓肿与瘘口</w:t>
        </w:r>
      </w:hyperlink>
    </w:p>
    <w:p>
      <w:pPr>
        <w:spacing w:after="60"/>
        <w:ind w:left="227"/>
      </w:pPr>
      <w:hyperlink w:anchor="s14">
        <w:r>
          <w:t>腹部创伤</w:t>
        </w:r>
      </w:hyperlink>
    </w:p>
    <w:p>
      <w:pPr>
        <w:spacing w:after="60"/>
        <w:ind w:left="0"/>
      </w:pPr>
      <w:hyperlink w:anchor="s15">
        <w:r>
          <w:t>原资料迁移依据</w:t>
        </w:r>
      </w:hyperlink>
    </w:p>
    <w:p>
      <w:pPr>
        <w:spacing w:after="60"/>
        <w:ind w:left="0"/>
      </w:pPr>
      <w:hyperlink w:anchor="s16">
        <w:r>
          <w:t>临床模拟示例 未做指检</w:t>
        </w:r>
      </w:hyperlink>
    </w:p>
    <w:p>
      <w:pPr>
        <w:spacing w:after="60"/>
        <w:ind w:left="0"/>
      </w:pPr>
      <w:hyperlink w:anchor="s17">
        <w:r>
          <w:t>事实边界 常见错误及最终质量控制</w:t>
        </w:r>
      </w:hyperlink>
    </w:p>
    <w:p>
      <w:pPr>
        <w:spacing w:after="60"/>
        <w:ind w:left="0"/>
      </w:pPr>
      <w:hyperlink w:anchor="s18">
        <w:r>
          <w:t>与其他模块的协同关系</w:t>
        </w:r>
      </w:hyperlink>
    </w:p>
    <w:p>
      <w:pPr>
        <w:spacing w:after="60"/>
        <w:ind w:left="0"/>
      </w:pPr>
      <w:hyperlink w:anchor="s19">
        <w:r>
          <w:t>参考指南 版本与核验范围</w:t>
        </w:r>
      </w:hyperlink>
    </w:p>
    <w:p>
      <w:r>
        <w:t>完整分级导航可在Word或WPS的导航窗格展开。</w:t>
      </w:r>
    </w:p>
    <w:p>
      <w:r>
        <w:br w:type="page"/>
      </w:r>
    </w:p>
    <w:p>
      <w:bookmarkStart w:id="0" w:name="s0"/>
      <w:pPr>
        <w:pStyle w:val="Heading1"/>
      </w:pPr>
      <w:r>
        <w:t>实查信息采集规则</w:t>
      </w:r>
      <w:bookmarkEnd w:id="0"/>
    </w:p>
    <w:p>
      <w:pPr>
        <w:widowControl/>
      </w:pPr>
      <w:r>
        <w:t>本模块只组织当次实际查体，不产生默认正常结果。必要资料为检查时间、检查者、体位、实际操作、所见、受限原因及资料来源。严重疼痛、休克、意识障碍等限制检查时，应明确限制并进入06或108。</w:t>
      </w:r>
    </w:p>
    <w:p>
      <w:bookmarkStart w:id="1" w:name="s1"/>
      <w:pPr>
        <w:pStyle w:val="Heading2"/>
      </w:pPr>
      <w:r>
        <w:t>一般与营养</w:t>
      </w:r>
      <w:bookmarkEnd w:id="1"/>
    </w:p>
    <w:p>
      <w:pPr>
        <w:widowControl/>
      </w:pPr>
      <w:r>
        <w:t>记录意识、体位、痛苦程度、实际体温血压脉搏呼吸SpO2、体重近期变化、肌量及水肿；营养不良不凭白蛋白单项确诊。</w:t>
      </w:r>
    </w:p>
    <w:p>
      <w:pPr>
        <w:keepNext/>
        <w:widowControl/>
      </w:pPr>
      <w:r>
        <w:t>记录模板：[记录日期及时间] 专科检查记录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[实际检查部位及方法]：[真实所见及量值单位]；[检查受限或未完成的真实情况，如存在]。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质控：实查与影像分开；核对侧别、部位、时点和单位；未实施项目不填阴性。</w:t>
      </w:r>
    </w:p>
    <w:p>
      <w:bookmarkStart w:id="2" w:name="s2"/>
      <w:pPr>
        <w:pStyle w:val="Heading2"/>
      </w:pPr>
      <w:r>
        <w:t>皮肤巩膜与肝胆</w:t>
      </w:r>
      <w:bookmarkEnd w:id="2"/>
    </w:p>
    <w:p>
      <w:pPr>
        <w:widowControl/>
      </w:pPr>
      <w:r>
        <w:t>实查黄染的部位程度、肝区叩击痛、胆囊区压痛和Murphy征。Murphy征按实际操作及呼吸反应写，未实施不写阴性。肝脏触及边缘、质地和压痛只能实测。</w:t>
      </w:r>
    </w:p>
    <w:p>
      <w:pPr>
        <w:keepNext/>
        <w:widowControl/>
      </w:pPr>
      <w:r>
        <w:t>记录模板：[记录日期及时间] 专科检查记录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[实际检查部位及方法]：[真实所见及量值单位]；[检查受限或未完成的真实情况，如存在]。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质控：实查与影像分开；核对侧别、部位、时点和单位；未实施项目不填阴性。</w:t>
      </w:r>
    </w:p>
    <w:p>
      <w:bookmarkStart w:id="3" w:name="s3"/>
      <w:pPr>
        <w:pStyle w:val="Heading2"/>
      </w:pPr>
      <w:r>
        <w:t>腹部视诊</w:t>
      </w:r>
      <w:bookmarkEnd w:id="3"/>
    </w:p>
    <w:p>
      <w:pPr>
        <w:widowControl/>
      </w:pPr>
      <w:r>
        <w:t>外形、对称性、腹式呼吸、静脉曲张、瘢痕位置、切口敷料渗出；瘢痕存在不等于已知既往术式。</w:t>
      </w:r>
    </w:p>
    <w:p>
      <w:pPr>
        <w:keepNext/>
        <w:widowControl/>
      </w:pPr>
      <w:r>
        <w:t>记录模板：[记录日期及时间] 专科检查记录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[实际检查部位及方法]：[真实所见及量值单位]；[检查受限或未完成的真实情况，如存在]。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质控：实查与影像分开；核对侧别、部位、时点和单位；未实施项目不填阴性。</w:t>
      </w:r>
    </w:p>
    <w:p>
      <w:bookmarkStart w:id="4" w:name="s4"/>
      <w:pPr>
        <w:pStyle w:val="Heading2"/>
      </w:pPr>
      <w:r>
        <w:t>腹部触诊</w:t>
      </w:r>
      <w:bookmarkEnd w:id="4"/>
    </w:p>
    <w:p>
      <w:pPr>
        <w:widowControl/>
      </w:pPr>
      <w:r>
        <w:t>记录压痛最明显部位及范围、深浅、反跳痛与腹肌紧张；腹膜刺激征需由实查支撑，不以疼痛程度替代。肿块记录位置大小质地边界活动度压痛及与呼吸关系。</w:t>
      </w:r>
    </w:p>
    <w:p>
      <w:pPr>
        <w:keepNext/>
        <w:widowControl/>
      </w:pPr>
      <w:r>
        <w:t>记录模板：[记录日期及时间] 专科检查记录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[实际检查部位及方法]：[真实所见及量值单位]；[检查受限或未完成的真实情况，如存在]。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质控：实查与影像分开；核对侧别、部位、时点和单位；未实施项目不填阴性。</w:t>
      </w:r>
    </w:p>
    <w:p>
      <w:bookmarkStart w:id="5" w:name="s5"/>
      <w:pPr>
        <w:pStyle w:val="Heading2"/>
      </w:pPr>
      <w:r>
        <w:t>腹部叩诊与听诊</w:t>
      </w:r>
      <w:bookmarkEnd w:id="5"/>
    </w:p>
    <w:p>
      <w:pPr>
        <w:widowControl/>
      </w:pPr>
      <w:r>
        <w:t>移动性浊音、肝浊音界及叩击痛按实际检查；肠鸣音需记录听诊所获及频次，未听诊不可写正常、活跃或消失。</w:t>
      </w:r>
    </w:p>
    <w:p>
      <w:pPr>
        <w:keepNext/>
        <w:widowControl/>
      </w:pPr>
      <w:r>
        <w:t>记录模板：[记录日期及时间] 专科检查记录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[实际检查部位及方法]：[真实所见及量值单位]；[检查受限或未完成的真实情况，如存在]。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质控：实查与影像分开；核对侧别、部位、时点和单位；未实施项目不填阴性。</w:t>
      </w:r>
    </w:p>
    <w:p>
      <w:bookmarkStart w:id="6" w:name="s6"/>
      <w:pPr>
        <w:pStyle w:val="Heading2"/>
      </w:pPr>
      <w:r>
        <w:t>脾脏检查</w:t>
      </w:r>
      <w:bookmarkEnd w:id="6"/>
    </w:p>
    <w:p>
      <w:pPr>
        <w:widowControl/>
      </w:pPr>
      <w:r>
        <w:t>是否触及、边缘、质地与压痛，结合实际体位和测量；影像脾大另归04，不能当作触诊结果。</w:t>
      </w:r>
    </w:p>
    <w:p>
      <w:pPr>
        <w:keepNext/>
        <w:widowControl/>
      </w:pPr>
      <w:r>
        <w:t>记录模板：[记录日期及时间] 专科检查记录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[实际检查部位及方法]：[真实所见及量值单位]；[检查受限或未完成的真实情况，如存在]。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质控：实查与影像分开；核对侧别、部位、时点和单位；未实施项目不填阴性。</w:t>
      </w:r>
    </w:p>
    <w:p>
      <w:bookmarkStart w:id="7" w:name="s7"/>
      <w:pPr>
        <w:pStyle w:val="Heading2"/>
      </w:pPr>
      <w:r>
        <w:t>切口与术后腹部</w:t>
      </w:r>
      <w:bookmarkEnd w:id="7"/>
    </w:p>
    <w:p>
      <w:pPr>
        <w:widowControl/>
      </w:pPr>
      <w:r>
        <w:t>实际切口位置、敷料、渗血渗液、红肿压痛、裂开及腹部体征。敷料未揭开只记录外观，不写切口无感染或愈合良好。</w:t>
      </w:r>
    </w:p>
    <w:p>
      <w:pPr>
        <w:keepNext/>
        <w:widowControl/>
      </w:pPr>
      <w:r>
        <w:t>记录模板：[记录日期及时间] 专科检查记录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[实际检查部位及方法]：[真实所见及量值单位]；[检查受限或未完成的真实情况，如存在]。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质控：实查与影像分开；核对侧别、部位、时点和单位；未实施项目不填阴性。</w:t>
      </w:r>
    </w:p>
    <w:p>
      <w:bookmarkStart w:id="8" w:name="s8"/>
      <w:pPr>
        <w:pStyle w:val="Heading2"/>
      </w:pPr>
      <w:r>
        <w:t>管道与胃肠减压</w:t>
      </w:r>
      <w:bookmarkEnd w:id="8"/>
    </w:p>
    <w:p>
      <w:pPr>
        <w:widowControl/>
      </w:pPr>
      <w:r>
        <w:t>每根管道ID、位置、固定、外露长度、是否接负压、液体颜色性状、按时段的量及通畅观察；未观察不写通畅。胆道管、腹腔管和胰周管分开。</w:t>
      </w:r>
    </w:p>
    <w:p>
      <w:pPr>
        <w:keepNext/>
        <w:widowControl/>
      </w:pPr>
      <w:r>
        <w:t>记录模板：[记录日期及时间] 专科检查记录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[实际检查部位及方法]：[真实所见及量值单位]；[检查受限或未完成的真实情况，如存在]。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质控：实查与影像分开；核对侧别、部位、时点和单位；未实施项目不填阴性。</w:t>
      </w:r>
    </w:p>
    <w:p>
      <w:bookmarkStart w:id="9" w:name="s9"/>
      <w:pPr>
        <w:pStyle w:val="Heading2"/>
      </w:pPr>
      <w:r>
        <w:t>造口</w:t>
      </w:r>
      <w:bookmarkEnd w:id="9"/>
    </w:p>
    <w:p>
      <w:pPr>
        <w:widowControl/>
      </w:pPr>
      <w:r>
        <w:t>类型部位、黏膜颜色湿润、肿胀、皮肤黏膜交界、回缩脱垂、周围皮肤、气体与排出物性质量及统计时段；缺血需及时专科复评。</w:t>
      </w:r>
    </w:p>
    <w:p>
      <w:pPr>
        <w:keepNext/>
        <w:widowControl/>
      </w:pPr>
      <w:r>
        <w:t>记录模板：[记录日期及时间] 专科检查记录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[实际检查部位及方法]：[真实所见及量值单位]；[检查受限或未完成的真实情况，如存在]。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质控：实查与影像分开；核对侧别、部位、时点和单位；未实施项目不填阴性。</w:t>
      </w:r>
    </w:p>
    <w:p>
      <w:bookmarkStart w:id="10" w:name="s10"/>
      <w:pPr>
        <w:pStyle w:val="Heading2"/>
      </w:pPr>
      <w:r>
        <w:t>腹股沟与腹壁疝</w:t>
      </w:r>
      <w:bookmarkEnd w:id="10"/>
    </w:p>
    <w:p>
      <w:pPr>
        <w:widowControl/>
      </w:pPr>
      <w:r>
        <w:t>注明侧别、立位与卧位的实际表现、包块大小位置、咳嗽冲击、回纳性及局部皮肤压痛；痛性不可回纳和全身异常需急诊评估，不能以症状直接认定肠坏死。</w:t>
      </w:r>
    </w:p>
    <w:p>
      <w:pPr>
        <w:keepNext/>
        <w:widowControl/>
      </w:pPr>
      <w:r>
        <w:t>记录模板：[记录日期及时间] 专科检查记录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[实际检查部位及方法]：[真实所见及量值单位]；[检查受限或未完成的真实情况，如存在]。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质控：实查与影像分开；核对侧别、部位、时点和单位；未实施项目不填阴性。</w:t>
      </w:r>
    </w:p>
    <w:p>
      <w:bookmarkStart w:id="11" w:name="s11"/>
      <w:pPr>
        <w:pStyle w:val="Heading2"/>
      </w:pPr>
      <w:r>
        <w:t>直肠指检</w:t>
      </w:r>
      <w:bookmarkEnd w:id="11"/>
    </w:p>
    <w:p>
      <w:pPr>
        <w:widowControl/>
      </w:pPr>
      <w:r>
        <w:t>核对同意、体位、实施者及耐受情况；实际记录肛门张力、肿物钟点位、距肛缘、大小质地活动度、环周范围及指套染血。未做或因疼痛未完成应如实注明。</w:t>
      </w:r>
    </w:p>
    <w:p>
      <w:pPr>
        <w:keepNext/>
        <w:widowControl/>
      </w:pPr>
      <w:r>
        <w:t>记录模板：[记录日期及时间] 专科检查记录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[实际检查部位及方法]：[真实所见及量值单位]；[检查受限或未完成的真实情况，如存在]。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质控：实查与影像分开；核对侧别、部位、时点和单位；未实施项目不填阴性。</w:t>
      </w:r>
    </w:p>
    <w:p>
      <w:bookmarkStart w:id="12" w:name="s12"/>
      <w:pPr>
        <w:pStyle w:val="Heading2"/>
      </w:pPr>
      <w:r>
        <w:t>肛门视诊与肛门镜</w:t>
      </w:r>
      <w:bookmarkEnd w:id="12"/>
    </w:p>
    <w:p>
      <w:pPr>
        <w:widowControl/>
      </w:pPr>
      <w:r>
        <w:t>记录体位后采用统一钟点定位；齿状线关系、痔核、裂口、瘘外口数目、距肛缘、分泌物与肛门镜所见只据实写；不同体位定位不自动互换。</w:t>
      </w:r>
    </w:p>
    <w:p>
      <w:pPr>
        <w:keepNext/>
        <w:widowControl/>
      </w:pPr>
      <w:r>
        <w:t>记录模板：[记录日期及时间] 专科检查记录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[实际检查部位及方法]：[真实所见及量值单位]；[检查受限或未完成的真实情况，如存在]。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质控：实查与影像分开；核对侧别、部位、时点和单位；未实施项目不填阴性。</w:t>
      </w:r>
    </w:p>
    <w:p>
      <w:bookmarkStart w:id="13" w:name="s13"/>
      <w:pPr>
        <w:pStyle w:val="Heading2"/>
      </w:pPr>
      <w:r>
        <w:t>肛周包块脓肿与瘘口</w:t>
      </w:r>
      <w:bookmarkEnd w:id="13"/>
    </w:p>
    <w:p>
      <w:pPr>
        <w:widowControl/>
      </w:pPr>
      <w:r>
        <w:t>局部红肿范围、压痛波动破溃和流脓；瘘管内口、分支和括约肌关系按探查或MRI来源，不据外口猜走行。</w:t>
      </w:r>
    </w:p>
    <w:p>
      <w:pPr>
        <w:keepNext/>
        <w:widowControl/>
      </w:pPr>
      <w:r>
        <w:t>记录模板：[记录日期及时间] 专科检查记录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[实际检查部位及方法]：[真实所见及量值单位]；[检查受限或未完成的真实情况，如存在]。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质控：实查与影像分开；核对侧别、部位、时点和单位；未实施项目不填阴性。</w:t>
      </w:r>
    </w:p>
    <w:p>
      <w:bookmarkStart w:id="14" w:name="s14"/>
      <w:pPr>
        <w:pStyle w:val="Heading2"/>
      </w:pPr>
      <w:r>
        <w:t>腹部创伤</w:t>
      </w:r>
      <w:bookmarkEnd w:id="14"/>
    </w:p>
    <w:p>
      <w:pPr>
        <w:widowControl/>
      </w:pPr>
      <w:r>
        <w:t>先记录呼吸循环和意识；腹壁挫伤伤口位置长度污染、可见组织及出血，未探查不写穿透腹膜。FAST和CT单列辅助检查，阴性FAST不能排除空腔脏器伤。</w:t>
      </w:r>
    </w:p>
    <w:p>
      <w:pPr>
        <w:keepNext/>
        <w:widowControl/>
      </w:pPr>
      <w:r>
        <w:t>记录模板：[记录日期及时间] 专科检查记录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[实际检查部位及方法]：[真实所见及量值单位]；[检查受限或未完成的真实情况，如存在]。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质控：实查与影像分开；核对侧别、部位、时点和单位；未实施项目不填阴性。</w:t>
      </w:r>
    </w:p>
    <w:p>
      <w:bookmarkStart w:id="15" w:name="s15"/>
      <w:pPr>
        <w:pStyle w:val="Heading1"/>
      </w:pPr>
      <w:r>
        <w:t>原资料迁移依据</w:t>
      </w:r>
      <w:bookmarkEnd w:id="15"/>
    </w:p>
    <w:p>
      <w:pPr>
        <w:widowControl/>
      </w:pPr>
      <w:r>
        <w:t>来源：普外科指令库/普外科模板库.docx，正文段落索引2605至2640（包含空段的提取序号）。以下为核对用原规则节选，不是患者文书；旧编号、旧格式和未加槽位的通用正常描述不再执行，统一由01和本模块新规则替代。</w:t>
      </w:r>
    </w:p>
    <w:p>
      <w:pPr>
        <w:widowControl/>
      </w:pPr>
      <w:r>
        <w:t>第七部分：入院记录、一般病史及查体的进一步细化；一百三十二、完整入院记录固定结构；完整入院记录原则上按照以下顺序书写：；1.一般项目。；2.主诉。；3.现病史。；4.既往史。；5.个人史。；6.婚育史。；7.月经史，仅女性患者根据实际情况书写。；8.家族史。；9.体格检查。；10.普外科专科检查。；11.辅助检查。；12.初步诊断。；不得将首次病程记录与入院记录完全机械复制。；入院记录重点体现：；完整病史；；完整查体；；辅助检查；；初步诊断。；首次病程重点体现：；病例特点；；诊断依据；；鉴别诊断；；病情评估；；诊疗计划。</w:t>
      </w:r>
    </w:p>
    <w:p>
      <w:pPr>
        <w:widowControl/>
      </w:pPr>
      <w:r>
        <w:t>迁移结果：保留本节的采集维度与动态分析逻辑；删去原总目录的13/14文件路由和甲乳专病路由，编号改用00—11及101—108；标准正常状态全部改为有来源的事实槽位。</w:t>
      </w:r>
    </w:p>
    <w:p>
      <w:bookmarkStart w:id="16" w:name="s16"/>
      <w:pPr>
        <w:pStyle w:val="Heading1"/>
      </w:pPr>
      <w:r>
        <w:t>临床模拟示例 未做指检</w:t>
      </w:r>
      <w:bookmarkEnd w:id="16"/>
    </w:p>
    <w:p>
      <w:pPr>
        <w:widowControl/>
      </w:pPr>
      <w:r>
        <w:t>模拟患者肛周疼痛，未实施直肠指检：只描述已实查局部红肿，框外列指检资料缺失，不写未触及异常。</w:t>
      </w:r>
    </w:p>
    <w:p>
      <w:bookmarkStart w:id="17" w:name="s17"/>
      <w:pPr>
        <w:pStyle w:val="Heading1"/>
      </w:pPr>
      <w:r>
        <w:t>事实边界 常见错误及最终质量控制</w:t>
      </w:r>
      <w:bookmarkEnd w:id="17"/>
    </w:p>
    <w:p>
      <w:pPr>
        <w:widowControl/>
      </w:pPr>
      <w:r>
        <w:t>患者实际资料优先于模板；01为本系统最高执行规则。事实分为已核实、待核实、相互冲突、明确未做、未提供五态；未提供不等于阴性。不得编造症状、体征、生命体征、腹部查体、检验、影像、内镜、病理、分期、手术与麻醉、术中经过、出血输血、吻合与切缘、清扫范围、管道数量位置及量、排气排便、饮食、药物执行、并发症、会诊、医患意愿、沟通同意或医师实际意见。稳定背景可以继承；当日症状、查体、管道流量和生命体征必须由当日或注明时间的资料支撑。历史异常应注明历史时间，不能无声变为今日体征。</w:t>
      </w:r>
    </w:p>
    <w:p>
      <w:pPr>
        <w:widowControl/>
      </w:pPr>
      <w:r>
        <w:t>本模块常见错误：将知识写成已治疗、模板默认正常、旧资料当今日、新病理写入旧记录、管道和停药状态遗漏。执行前核住院身份及任务，填充时逐句核来源，输出前联10检查事实、诊断、状态、时序及格式。正式输出统一执行01的text代码框规则。</w:t>
      </w:r>
    </w:p>
    <w:p>
      <w:bookmarkStart w:id="18" w:name="s18"/>
      <w:pPr>
        <w:pStyle w:val="Heading1"/>
      </w:pPr>
      <w:r>
        <w:t>与其他模块的协同关系</w:t>
      </w:r>
      <w:bookmarkEnd w:id="18"/>
    </w:p>
    <w:p>
      <w:pPr>
        <w:widowControl/>
      </w:pPr>
      <w:r>
        <w:t>读取任务与资料→核对住院号和本次住院标识→逐条建立事实及来源时间→判断疾病证据和手术状态→选择功能模块和一个主专病模块→必要时添加相关专病及异常模块→仅用可用事实填槽→10审查→输出正文。检查、处置均区分提出、医师决定、医嘱开立与实际执行。资料不足优先提出最少必要问题；非关键缺项可省略并在框外说明；身份、实际术式、关键药物或病理冲突阻断净稿。</w:t>
      </w:r>
    </w:p>
    <w:p>
      <w:pPr>
        <w:widowControl/>
      </w:pPr>
      <w:r>
        <w:t>统一索引见00_普外科AI病历系统总入口与模块调用索引；最高规则见01_普外科病历书写助手最高执行指令；病例状态见11_普外科AI自动调用路由与病例状态管理规则库；最终审查见10_普外科病历最终质控诊断修正及时间轴一致性审查库。</w:t>
      </w:r>
    </w:p>
    <w:p>
      <w:bookmarkStart w:id="19" w:name="s19"/>
      <w:pPr>
        <w:pStyle w:val="Heading1"/>
      </w:pPr>
      <w:r>
        <w:t>参考指南 版本与核验范围</w:t>
      </w:r>
      <w:bookmarkEnd w:id="19"/>
    </w:p>
    <w:p>
      <w:pPr>
        <w:widowControl/>
      </w:pPr>
      <w:r>
        <w:t>核验日期：2026年10月26日。以下记录实际核验层级，不将书目或摘要核验冒称全文逐条审查，不宣称已穷尽所有现行指南。中国法规和院内流程作为病历管理依据；国际指南作为专科定义或补充，不能替代中国处方、准入和知情同意要求。未核验的评分、精确阈值、药物剂量或推荐强度不自动生成；适用时需补查原文和院内制度。</w:t>
      </w:r>
    </w:p>
    <w:p>
      <w:pPr>
        <w:widowControl/>
      </w:pPr>
      <w:r>
        <w:t>病历书写基本规范｜原卫生部｜2010</w:t>
      </w:r>
    </w:p>
    <w:p>
      <w:pPr>
        <w:widowControl/>
      </w:pPr>
      <w:r>
        <w:t>适用：全模块；客观真实与记录项目、时限</w:t>
      </w:r>
    </w:p>
    <w:p>
      <w:pPr>
        <w:widowControl/>
      </w:pPr>
      <w:r>
        <w:t>核验层级：官方正文</w:t>
      </w:r>
    </w:p>
    <w:p>
      <w:pPr>
        <w:widowControl/>
      </w:pPr>
      <w:r>
        <w:t>来源：https://www.nhc.gov.cn/bgt/s10696/201002/8cd7d4d70f4b42da839d2428dcbf723c.shtml</w:t>
      </w:r>
    </w:p>
    <w:p>
      <w:pPr>
        <w:widowControl/>
      </w:pPr>
      <w:r>
        <w:t>核验日期：2026-10-26</w:t>
      </w:r>
    </w:p>
    <w:p>
      <w:pPr>
        <w:widowControl/>
      </w:pPr>
      <w:r>
        <w:t>医疗质量安全核心制度要点｜国家卫生健康委员会｜2018</w:t>
      </w:r>
    </w:p>
    <w:p>
      <w:pPr>
        <w:widowControl/>
      </w:pPr>
      <w:r>
        <w:t>适用：查房、会诊、手术讨论、危急值与交接</w:t>
      </w:r>
    </w:p>
    <w:p>
      <w:pPr>
        <w:widowControl/>
      </w:pPr>
      <w:r>
        <w:t>核验层级：官方通知及制度</w:t>
      </w:r>
    </w:p>
    <w:p>
      <w:pPr>
        <w:widowControl/>
      </w:pPr>
      <w:r>
        <w:t>来源：https://www.nhc.gov.cn/yzygj/c100068/201804/42ab2552298047679cd6ec733f233862.shtml</w:t>
      </w:r>
    </w:p>
    <w:p>
      <w:pPr>
        <w:widowControl/>
      </w:pPr>
      <w:r>
        <w:t>核验日期：2026-10-26</w:t>
      </w:r>
    </w:p>
    <w:p>
      <w:pPr>
        <w:widowControl/>
      </w:pPr>
      <w:r>
        <w:t>电子病历应用管理规范 试行｜原国家卫生计生委 国家中医药管理局｜2017</w:t>
      </w:r>
    </w:p>
    <w:p>
      <w:pPr>
        <w:widowControl/>
      </w:pPr>
      <w:r>
        <w:t>适用：电子病历权限、修改留痕与签名</w:t>
      </w:r>
    </w:p>
    <w:p>
      <w:pPr>
        <w:widowControl/>
      </w:pPr>
      <w:r>
        <w:t>核验层级：官方正文</w:t>
      </w:r>
    </w:p>
    <w:p>
      <w:pPr>
        <w:widowControl/>
      </w:pPr>
      <w:r>
        <w:t>来源：https://www.nhc.gov.cn/wjw/c100175/201702/90f3de8ae03d488cbddf509dc958f75b.shtml</w:t>
      </w:r>
    </w:p>
    <w:p>
      <w:pPr>
        <w:widowControl/>
      </w:pPr>
      <w:r>
        <w:t>核验日期：2026-10-26</w:t>
      </w:r>
    </w:p>
    <w:p>
      <w:pPr>
        <w:widowControl/>
      </w:pPr>
      <w:r>
        <w:t>ISGPS胰瘘原文有2024年勘误，已核对系作者姓名更正，未改变临床定义：PMID 38926000，DOI 10.1016/j.surg.2024.05.043。版本更新应登记变更来源、影响路径、审核者与回归测试；未完成验证不替换已批准院内路径。</w:t>
      </w:r>
    </w:p>
    <w:sectPr w:rsidR="00FC693F" w:rsidRPr="0006063C" w:rsidSect="00034616">
      <w:footerReference w:type="default" r:id="rId9"/>
      <w:pgSz w:w="11906" w:h="16838"/>
      <w:pgMar w:top="1191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03  |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 w:eastAsia="Songti SC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03_普外科专科检查与腹部体格检查模板库</dc:title>
  <dc:subject>普外科医学文书规则与模板</dc:subject>
  <dc:creator/>
  <cp:keywords>V2.0;事实核对;责任医师审核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