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普外科检验影像内镜病理及特殊检查结果分析模板库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先核对患者、检查号、机构、项目、采样/检查时间、报告回报时间和当前记录时点。模式一逐字保留报告，原始所见与意见不润色、不删阴性、单位及错别字；可读不清部分在框外提问，不推测。模式二另写临床分析，不覆盖模式一原文。检查发生早于记录但报告晚于记录，该记录不能引用尚未可用结论。外院报告不得标作本院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双模式与原文保真</w:t>
        </w:r>
      </w:hyperlink>
    </w:p>
    <w:p>
      <w:pPr>
        <w:spacing w:after="60"/>
        <w:ind w:left="0"/>
      </w:pPr>
      <w:hyperlink w:anchor="s1">
        <w:r>
          <w:t>原始报告模板</w:t>
        </w:r>
      </w:hyperlink>
    </w:p>
    <w:p>
      <w:pPr>
        <w:spacing w:after="60"/>
        <w:ind w:left="227"/>
      </w:pPr>
      <w:hyperlink w:anchor="s2">
        <w:r>
          <w:t>血常规</w:t>
        </w:r>
      </w:hyperlink>
    </w:p>
    <w:p>
      <w:pPr>
        <w:spacing w:after="60"/>
        <w:ind w:left="227"/>
      </w:pPr>
      <w:hyperlink w:anchor="s3">
        <w:r>
          <w:t>凝血与VTE</w:t>
        </w:r>
      </w:hyperlink>
    </w:p>
    <w:p>
      <w:pPr>
        <w:spacing w:after="60"/>
        <w:ind w:left="227"/>
      </w:pPr>
      <w:hyperlink w:anchor="s4">
        <w:r>
          <w:t>肝功能胆红素</w:t>
        </w:r>
      </w:hyperlink>
    </w:p>
    <w:p>
      <w:pPr>
        <w:spacing w:after="60"/>
        <w:ind w:left="227"/>
      </w:pPr>
      <w:hyperlink w:anchor="s5">
        <w:r>
          <w:t>肾功能电解质</w:t>
        </w:r>
      </w:hyperlink>
    </w:p>
    <w:p>
      <w:pPr>
        <w:spacing w:after="60"/>
        <w:ind w:left="227"/>
      </w:pPr>
      <w:hyperlink w:anchor="s6">
        <w:r>
          <w:t>胰酶与血糖</w:t>
        </w:r>
      </w:hyperlink>
    </w:p>
    <w:p>
      <w:pPr>
        <w:spacing w:after="60"/>
        <w:ind w:left="227"/>
      </w:pPr>
      <w:hyperlink w:anchor="s7">
        <w:r>
          <w:t>感染与灌注</w:t>
        </w:r>
      </w:hyperlink>
    </w:p>
    <w:p>
      <w:pPr>
        <w:spacing w:after="60"/>
        <w:ind w:left="227"/>
      </w:pPr>
      <w:hyperlink w:anchor="s8">
        <w:r>
          <w:t>营养与肿瘤标志物</w:t>
        </w:r>
      </w:hyperlink>
    </w:p>
    <w:p>
      <w:pPr>
        <w:spacing w:after="60"/>
        <w:ind w:left="227"/>
      </w:pPr>
      <w:hyperlink w:anchor="s9">
        <w:r>
          <w:t>超声CT增强CT与X线</w:t>
        </w:r>
      </w:hyperlink>
    </w:p>
    <w:p>
      <w:pPr>
        <w:spacing w:after="60"/>
        <w:ind w:left="227"/>
      </w:pPr>
      <w:hyperlink w:anchor="s10">
        <w:r>
          <w:t>MRI MRCP CTA</w:t>
        </w:r>
      </w:hyperlink>
    </w:p>
    <w:p>
      <w:pPr>
        <w:spacing w:after="60"/>
        <w:ind w:left="227"/>
      </w:pPr>
      <w:hyperlink w:anchor="s11">
        <w:r>
          <w:t>内镜与介入</w:t>
        </w:r>
      </w:hyperlink>
    </w:p>
    <w:p>
      <w:pPr>
        <w:spacing w:after="60"/>
        <w:ind w:left="227"/>
      </w:pPr>
      <w:hyperlink w:anchor="s12">
        <w:r>
          <w:t>病理与分期</w:t>
        </w:r>
      </w:hyperlink>
    </w:p>
    <w:p>
      <w:pPr>
        <w:spacing w:after="60"/>
        <w:ind w:left="0"/>
      </w:pPr>
      <w:hyperlink w:anchor="s13">
        <w:r>
          <w:t>原资料迁移依据</w:t>
        </w:r>
      </w:hyperlink>
    </w:p>
    <w:p>
      <w:pPr>
        <w:spacing w:after="60"/>
        <w:ind w:left="0"/>
      </w:pPr>
      <w:hyperlink w:anchor="s14">
        <w:r>
          <w:t>临床模拟示例 原文模式</w:t>
        </w:r>
      </w:hyperlink>
    </w:p>
    <w:p>
      <w:pPr>
        <w:spacing w:after="60"/>
        <w:ind w:left="0"/>
      </w:pPr>
      <w:hyperlink w:anchor="s15">
        <w:r>
          <w:t>事实边界 常见错误及最终质量控制</w:t>
        </w:r>
      </w:hyperlink>
    </w:p>
    <w:p>
      <w:pPr>
        <w:spacing w:after="60"/>
        <w:ind w:left="0"/>
      </w:pPr>
      <w:hyperlink w:anchor="s16">
        <w:r>
          <w:t>与其他模块的协同关系</w:t>
        </w:r>
      </w:hyperlink>
    </w:p>
    <w:p>
      <w:pPr>
        <w:spacing w:after="60"/>
        <w:ind w:left="0"/>
      </w:pPr>
      <w:hyperlink w:anchor="s17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双模式与原文保真</w:t>
      </w:r>
      <w:bookmarkEnd w:id="0"/>
    </w:p>
    <w:p>
      <w:pPr>
        <w:widowControl/>
      </w:pPr>
      <w:r>
        <w:t>先核对患者、检查号、机构、项目、采样/检查时间、报告回报时间和当前记录时点。模式一逐字保留报告，原始所见与意见不润色、不删阴性、单位及错别字；可读不清部分在框外提问，不推测。模式二另写临床分析，不覆盖模式一原文。检查发生早于记录但报告晚于记录，该记录不能引用尚未可用结论。外院报告不得标作本院。</w:t>
      </w:r>
    </w:p>
    <w:p>
      <w:bookmarkStart w:id="1" w:name="s1"/>
      <w:pPr>
        <w:pStyle w:val="Heading1"/>
      </w:pPr>
      <w:r>
        <w:t>原始报告模板</w:t>
      </w:r>
      <w:bookmarkEnd w:id="1"/>
    </w:p>
    <w:p>
      <w:pPr>
        <w:keepNext/>
        <w:widowControl/>
      </w:pPr>
      <w:r>
        <w:t>[记录日期及时间] 检查报告整理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[实际检查项目]（[实际检查时间]，[实际机构]）示：诊断所见：[原始所见逐字复制]。诊断意见：[原始意见逐字复制]。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“本院”仅限确属本院；只有报告意见而无所见时不创造所见。检验按项目、结果、单位、参考范围、采样及回报时间保真记录；病理按标本号、取材部位、报告性质、结论、补充报告和回报时间保真整理。</w:t>
      </w:r>
    </w:p>
    <w:p>
      <w:bookmarkStart w:id="2" w:name="s2"/>
      <w:pPr>
        <w:pStyle w:val="Heading2"/>
      </w:pPr>
      <w:r>
        <w:t>血常规</w:t>
      </w:r>
      <w:bookmarkEnd w:id="2"/>
    </w:p>
    <w:p>
      <w:pPr>
        <w:widowControl/>
      </w:pPr>
      <w:r>
        <w:t>白细胞及中性粒细胞需区分感染、应激和药物；Hb下降结合基线、补液稀释、失血和溶血；血小板异常结合肝脾、感染、消耗和用药。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" w:name="s3"/>
      <w:pPr>
        <w:pStyle w:val="Heading2"/>
      </w:pPr>
      <w:r>
        <w:t>凝血与VTE</w:t>
      </w:r>
      <w:bookmarkEnd w:id="3"/>
    </w:p>
    <w:p>
      <w:pPr>
        <w:widowControl/>
      </w:pPr>
      <w:r>
        <w:t>PT INR APTT纤维蛋白原分别记录；D二聚体升高不能确诊DVT或PE；肝病凝血异常不能直接等同无血栓风险。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" w:name="s4"/>
      <w:pPr>
        <w:pStyle w:val="Heading2"/>
      </w:pPr>
      <w:r>
        <w:t>肝功能胆红素</w:t>
      </w:r>
      <w:bookmarkEnd w:id="4"/>
    </w:p>
    <w:p>
      <w:pPr>
        <w:widowControl/>
      </w:pPr>
      <w:r>
        <w:t>ALT AST反映损伤，胆红素和ALP GGT提示排泄与胆汁淤积，白蛋白及INR受多因素影响。肝切除后按天趋势分析，不能将转氨酶升高等同肝衰竭。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" w:name="s5"/>
      <w:pPr>
        <w:pStyle w:val="Heading2"/>
      </w:pPr>
      <w:r>
        <w:t>肾功能电解质</w:t>
      </w:r>
      <w:bookmarkEnd w:id="5"/>
    </w:p>
    <w:p>
      <w:pPr>
        <w:widowControl/>
      </w:pPr>
      <w:r>
        <w:t>肌酐变化需明确基线、时间窗及尿量时段；钾钠钙镁磷结合症状、心电图、酸碱和治疗背景；不凭单值生成补充剂量。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" w:name="s6"/>
      <w:pPr>
        <w:pStyle w:val="Heading2"/>
      </w:pPr>
      <w:r>
        <w:t>胰酶与血糖</w:t>
      </w:r>
      <w:bookmarkEnd w:id="6"/>
    </w:p>
    <w:p>
      <w:pPr>
        <w:widowControl/>
      </w:pPr>
      <w:r>
        <w:t>淀粉酶脂肪酶注明实验室正常上限；胰酶升高并不等于重症胰腺炎；引流液淀粉酶与血清上限及术后天数、临床影响配对。血糖须区分空腹随机与输注背景。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" w:name="s7"/>
      <w:pPr>
        <w:pStyle w:val="Heading2"/>
      </w:pPr>
      <w:r>
        <w:t>感染与灌注</w:t>
      </w:r>
      <w:bookmarkEnd w:id="7"/>
    </w:p>
    <w:p>
      <w:pPr>
        <w:widowControl/>
      </w:pPr>
      <w:r>
        <w:t>CRP PCT受术后炎症等影响，不能单项定感染；血气注明吸氧条件、pH PaCO2 PaO2 HCO3及乳酸，趋势结合循环与器官功能。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" w:name="s8"/>
      <w:pPr>
        <w:pStyle w:val="Heading2"/>
      </w:pPr>
      <w:r>
        <w:t>营养与肿瘤标志物</w:t>
      </w:r>
      <w:bookmarkEnd w:id="8"/>
    </w:p>
    <w:p>
      <w:pPr>
        <w:widowControl/>
      </w:pPr>
      <w:r>
        <w:t>白蛋白受炎症、容量及肝合成影响；AFP CA19-9 CEA只作辅助，胆汁淤积可影响CA19-9；前后比较须同单位和时间背景。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" w:name="s9"/>
      <w:pPr>
        <w:pStyle w:val="Heading2"/>
      </w:pPr>
      <w:r>
        <w:t>超声CT增强CT与X线</w:t>
      </w:r>
      <w:bookmarkEnd w:id="9"/>
    </w:p>
    <w:p>
      <w:pPr>
        <w:widowControl/>
      </w:pPr>
      <w:r>
        <w:t>按器官、病变部位大小数量、强化、血管胆管关系、梗阻转折点、积液游离气及远处病灶分析。平扫不能替代增强血管评价；X线不能单独确定穿孔点。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" w:name="s10"/>
      <w:pPr>
        <w:pStyle w:val="Heading2"/>
      </w:pPr>
      <w:r>
        <w:t>MRI MRCP CTA</w:t>
      </w:r>
      <w:bookmarkEnd w:id="10"/>
    </w:p>
    <w:p>
      <w:pPr>
        <w:widowControl/>
      </w:pPr>
      <w:r>
        <w:t>MRI描述序列及报告结论；MRCP关注胆道胰管梗阻水平和病因线索；CTA关注血管闭塞狭窄、出血和肠壁灌注。未描述血管侵犯不等同已排除。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" w:name="s11"/>
      <w:pPr>
        <w:pStyle w:val="Heading2"/>
      </w:pPr>
      <w:r>
        <w:t>内镜与介入</w:t>
      </w:r>
      <w:bookmarkEnd w:id="11"/>
    </w:p>
    <w:p>
      <w:pPr>
        <w:widowControl/>
      </w:pPr>
      <w:r>
        <w:t>胃肠镜记录进镜范围、病变定位、狭窄可通过性、取材与操作；EUS看层次和血管关系，ERCP区分造影发现与已行取石置管，胆道镜、肛门镜、直肠镜及PTCD同样核查实际完成操作及相关不良反应。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" w:name="s12"/>
      <w:pPr>
        <w:pStyle w:val="Heading2"/>
      </w:pPr>
      <w:r>
        <w:t>病理与分期</w:t>
      </w:r>
      <w:bookmarkEnd w:id="12"/>
    </w:p>
    <w:p>
      <w:pPr>
        <w:widowControl/>
      </w:pPr>
      <w:r>
        <w:t>分开冰冻、石蜡、免疫组化和分子报告；逐一绑定标本病灶，记录组织类型、分级、浸润深度、切缘、阳性/检出淋巴结数、脉管及神经侵犯和检测结果。cTNM pTNM ypTNM不能互换，R状态与TNM不能混写。免疫组化单项阳性不能代替完整病理结论。</w:t>
      </w:r>
    </w:p>
    <w:p>
      <w:pPr>
        <w:keepNext/>
        <w:widowControl/>
      </w:pPr>
      <w:r>
        <w:t>分析模板：[记录日期及时间] 结果临床分析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[项目及可用时间]提示[实际结果及单位]，与[同口径前值及时间]比较[真实变化]；结合[当日临床背景]，考虑[有据意义及尚存局限]，需关注[具体风险]，后续[医师已确定评估计划]。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" w:name="s13"/>
      <w:pPr>
        <w:pStyle w:val="Heading1"/>
      </w:pPr>
      <w:r>
        <w:t>原资料迁移依据</w:t>
      </w:r>
      <w:bookmarkEnd w:id="13"/>
    </w:p>
    <w:p>
      <w:pPr>
        <w:widowControl/>
      </w:pPr>
      <w:r>
        <w:t>来源：普外科指令库/普外科检验、影像、病理及特殊检查结果分析专项模板库.docx，正文段落索引99至145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一、最高执行原则；1.每次分析任何检查之前，必须首先核对：；患者姓名；；性别；；年龄；；检查日期；；检查医院；；检查项目；；是否属于当前患者；；是否为术前或术后；；术后第几日；；是否与当前病例时间线吻合。；2.图片中姓名、性别或其他患者身份信息与当前病例不符时，必须停止正式病历生成并提醒用户核对。；3.不得自行修改原检查结果。；4.不得自行修改：；单位；；参考范围；；阴性/阳性；；分级；；大小；；左右侧；；病变位置。；5.用户上传图片要求“抄检查结果”时：；以图片原文为最高依据。；6.用户要求“分析”时：；不能只罗列数值，应按照：；检查结果→异常指标→临床意义→结合当前病情解释→围手术期意义→下一步观察或复查；进行。；7.正常项目原则上不需要全部机械罗列。；8.重点分析：；与当前疾病有关；；明显异常；；可能影响手术；；可能影响术后恢复；；需要动态观察；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14" w:name="s14"/>
      <w:pPr>
        <w:pStyle w:val="Heading1"/>
      </w:pPr>
      <w:r>
        <w:t>临床模拟示例 原文模式</w:t>
      </w:r>
      <w:bookmarkEnd w:id="14"/>
    </w:p>
    <w:p>
      <w:pPr>
        <w:widowControl/>
      </w:pPr>
      <w:r>
        <w:t>模拟原报告“诊断所见：胆总管稍扩张。诊断意见：结合临床。”，整理时逐字保留；分析另写“扩张不能独立证明结石”。</w:t>
      </w:r>
    </w:p>
    <w:p>
      <w:bookmarkStart w:id="15" w:name="s15"/>
      <w:pPr>
        <w:pStyle w:val="Heading1"/>
      </w:pPr>
      <w:r>
        <w:t>事实边界 常见错误及最终质量控制</w:t>
      </w:r>
      <w:bookmarkEnd w:id="15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16" w:name="s16"/>
      <w:pPr>
        <w:pStyle w:val="Heading1"/>
      </w:pPr>
      <w:r>
        <w:t>与其他模块的协同关系</w:t>
      </w:r>
      <w:bookmarkEnd w:id="16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17" w:name="s17"/>
      <w:pPr>
        <w:pStyle w:val="Heading1"/>
      </w:pPr>
      <w:r>
        <w:t>参考指南 版本与核验范围</w:t>
      </w:r>
      <w:bookmarkEnd w:id="17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原发性肝癌诊疗指南｜国家卫生健康委员会医政司｜2026</w:t>
      </w:r>
    </w:p>
    <w:p>
      <w:pPr>
        <w:widowControl/>
      </w:pPr>
      <w:r>
        <w:t>适用：肝细胞癌的诊断与分期路径；不外推到所有肝肿瘤</w:t>
      </w:r>
    </w:p>
    <w:p>
      <w:pPr>
        <w:widowControl/>
      </w:pPr>
      <w:r>
        <w:t>核验层级：官方发布信息；另核验原文期刊页面 https://xhyxzz.pumch.cn/article/doi/10.12290/xhyxzz.2026-0487?viewType=HTML</w:t>
      </w:r>
    </w:p>
    <w:p>
      <w:pPr>
        <w:widowControl/>
      </w:pPr>
      <w:r>
        <w:t>来源：https://www.nhc.gov.cn/cms-search/xxgk/getManuscriptXxgk.htm?id=3371c9cb2f7f4f55b18c709ff2c53ab8</w:t>
      </w:r>
    </w:p>
    <w:p>
      <w:pPr>
        <w:widowControl/>
      </w:pPr>
      <w:r>
        <w:t>核验日期：2026-10-26</w:t>
      </w:r>
    </w:p>
    <w:p>
      <w:pPr>
        <w:widowControl/>
      </w:pPr>
      <w:r>
        <w:t>胃癌诊疗指南｜国家卫生健康委员会｜2022</w:t>
      </w:r>
    </w:p>
    <w:p>
      <w:pPr>
        <w:widowControl/>
      </w:pPr>
      <w:r>
        <w:t>适用：胃癌病理、临床分期及外科综合评估</w:t>
      </w:r>
    </w:p>
    <w:p>
      <w:pPr>
        <w:widowControl/>
      </w:pPr>
      <w:r>
        <w:t>核验层级：官方PDF及发布通知；不是最新版本的无条件声明</w:t>
      </w:r>
    </w:p>
    <w:p>
      <w:pPr>
        <w:widowControl/>
      </w:pPr>
      <w:r>
        <w:t>来源：https://www.nhc.gov.cn/yzygj/c100068/202204/0c1f7d3aca0545abbeb02030ce255930/files/1732863054755_83603.pdf</w:t>
      </w:r>
    </w:p>
    <w:p>
      <w:pPr>
        <w:widowControl/>
      </w:pPr>
      <w:r>
        <w:t>核验日期：2026-10-26</w:t>
      </w:r>
    </w:p>
    <w:p>
      <w:pPr>
        <w:widowControl/>
      </w:pPr>
      <w:r>
        <w:t>胰腺癌诊疗指南｜国家卫生健康委员会｜2022</w:t>
      </w:r>
    </w:p>
    <w:p>
      <w:pPr>
        <w:widowControl/>
      </w:pPr>
      <w:r>
        <w:t>适用：胰腺癌影像、血管关系、MDT可切除性评估</w:t>
      </w:r>
    </w:p>
    <w:p>
      <w:pPr>
        <w:widowControl/>
      </w:pPr>
      <w:r>
        <w:t>核验层级：官方PDF及发布通知</w:t>
      </w:r>
    </w:p>
    <w:p>
      <w:pPr>
        <w:widowControl/>
      </w:pPr>
      <w:r>
        <w:t>来源：https://www.nhc.gov.cn/cms-search/downFiles/0ed82a23691e45babd217538aca97911.pdf</w:t>
      </w:r>
    </w:p>
    <w:p>
      <w:pPr>
        <w:widowControl/>
      </w:pPr>
      <w:r>
        <w:t>核验日期：2026-10-26</w:t>
      </w:r>
    </w:p>
    <w:p>
      <w:pPr>
        <w:widowControl/>
      </w:pPr>
      <w:r>
        <w:t>中国结直肠癌诊疗规范 精简版｜国家卫生健康委员会医政司委托 中华医学会肿瘤学分会组织｜2025</w:t>
      </w:r>
    </w:p>
    <w:p>
      <w:pPr>
        <w:widowControl/>
      </w:pPr>
      <w:r>
        <w:t>适用：结直肠癌定位、分期与MDT；精简版不代替全部细则</w:t>
      </w:r>
    </w:p>
    <w:p>
      <w:pPr>
        <w:widowControl/>
      </w:pPr>
      <w:r>
        <w:t>核验层级：期刊原文；发布背景见北京市卫健委2025年12月15日公告</w:t>
      </w:r>
    </w:p>
    <w:p>
      <w:pPr>
        <w:widowControl/>
      </w:pPr>
      <w:r>
        <w:t>来源：https://zhlcyszz.cma-cmc.com.cn/CN/abstract/article/1674-0785/43075</w:t>
      </w:r>
    </w:p>
    <w:p>
      <w:pPr>
        <w:widowControl/>
      </w:pPr>
      <w:r>
        <w:t>核验日期：2026-10-26</w:t>
      </w:r>
    </w:p>
    <w:p>
      <w:pPr>
        <w:widowControl/>
      </w:pPr>
      <w:r>
        <w:t>ISGPS postoperative pancreatic fistula 2016 update｜ISGPS｜2016更新 2017发表</w:t>
      </w:r>
    </w:p>
    <w:p>
      <w:pPr>
        <w:widowControl/>
      </w:pPr>
      <w:r>
        <w:t>适用：胰瘘与生化漏区分及B C级</w:t>
      </w:r>
    </w:p>
    <w:p>
      <w:pPr>
        <w:widowControl/>
      </w:pPr>
      <w:r>
        <w:t>核验层级：原始共识摘要及公开全文</w:t>
      </w:r>
    </w:p>
    <w:p>
      <w:pPr>
        <w:widowControl/>
      </w:pPr>
      <w:r>
        <w:t>来源：https://pubmed.ncbi.nlm.nih.gov/28040257/</w:t>
      </w:r>
    </w:p>
    <w:p>
      <w:pPr>
        <w:widowControl/>
      </w:pPr>
      <w:r>
        <w:t>核验日期：2026-10-26</w:t>
      </w:r>
    </w:p>
    <w:p>
      <w:pPr>
        <w:widowControl/>
      </w:pPr>
      <w:r>
        <w:t>ISGLS posthepatectomy liver failure definition and grading｜ISGLS｜2011</w:t>
      </w:r>
    </w:p>
    <w:p>
      <w:pPr>
        <w:widowControl/>
      </w:pPr>
      <w:r>
        <w:t>适用：术后第5日及以后INR与胆红素同步异常及管理分级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来源：https://pubmed.ncbi.nlm.nih.gov/21236455/</w:t>
      </w:r>
    </w:p>
    <w:p>
      <w:pPr>
        <w:widowControl/>
      </w:pPr>
      <w:r>
        <w:t>核验日期：2026-10-26</w:t>
      </w:r>
    </w:p>
    <w:p>
      <w:pPr>
        <w:widowControl/>
      </w:pPr>
      <w:r>
        <w:t>ISGLS bile leakage definition and grading｜ISGLS｜2011</w:t>
      </w:r>
    </w:p>
    <w:p>
      <w:pPr>
        <w:widowControl/>
      </w:pPr>
      <w:r>
        <w:t>适用：胆漏的引流液血清胆红素比值与干预分级</w:t>
      </w:r>
    </w:p>
    <w:p>
      <w:pPr>
        <w:widowControl/>
      </w:pPr>
      <w:r>
        <w:t>核验层级：原始论文机构库摘要 DOI 10.1016/j.surg.2010.12.002</w:t>
      </w:r>
    </w:p>
    <w:p>
      <w:pPr>
        <w:widowControl/>
      </w:pPr>
      <w:r>
        <w:t>来源：https://digital.library.adelaide.edu.au/items/73a3f58d-4f4d-440e-b76b-d1e28a4ba3bb</w:t>
      </w:r>
    </w:p>
    <w:p>
      <w:pPr>
        <w:widowControl/>
      </w:pPr>
      <w:r>
        <w:t>核验日期：2026-10-26</w:t>
      </w:r>
    </w:p>
    <w:p>
      <w:pPr>
        <w:widowControl/>
      </w:pPr>
      <w:r>
        <w:t>ISREC rectal anastomotic leakage definition and grading｜ISREC｜2010</w:t>
      </w:r>
    </w:p>
    <w:p>
      <w:pPr>
        <w:widowControl/>
      </w:pPr>
      <w:r>
        <w:t>适用：直肠前切除吻合口漏定义和A B C级；不直接外推所有胃肠吻合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来源：https://pubmed.ncbi.nlm.nih.gov/20004450/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04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04_普外科检验影像内镜病理及特殊检查结果分析模板库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