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07 普外科治疗决策围手术期用药及医嘱表达规则库</w:t>
      </w:r>
    </w:p>
    <w:p>
      <w:pPr>
        <w:pStyle w:val="Subtitle"/>
      </w:pPr>
      <w:r>
        <w:t>普外科 肝胆胰脾胃肠肛肠 AI病历书写系统</w:t>
      </w:r>
    </w:p>
    <w:p>
      <w:r>
        <w:t>版本 V2.0</w:t>
        <w:br/>
        <w:t>架构定位 第二级 通用医学文书功能</w:t>
        <w:br/>
        <w:t>建设与核验日期 2026年10月26日</w:t>
        <w:br/>
        <w:t>适用对象 普外科责任医师与病历质控人员</w:t>
      </w:r>
    </w:p>
    <w:p>
      <w:r>
        <w:t>用于辅助整理真实临床资料、形成待责任医师审核的医学文书及质量核查。使用前必须读取01的真实性、证据和治疗状态规则。</w:t>
      </w:r>
    </w:p>
    <w:p>
      <w:pPr>
        <w:pStyle w:val="Heading1"/>
      </w:pPr>
      <w:r>
        <w:t>模块功能与调用条件</w:t>
      </w:r>
    </w:p>
    <w:p>
      <w:r>
        <w:t>knowledge为医学知识；suggestion为待讨论建议；physician_plan为责任医师确定计划；executed_order为实际执行医嘱。另以order_status记录未开立、已开立待执行、执行中、暂停、停止、完成、取消。每个药物实例至少有名称、规格剂量、频次、途径、适应证、医嘱与执行起止时点、来源和责任者。缺少剂量等不能补常规剂量；只知道“抗感染”则不可补药名。不同药名、同名不同途径或疗程不自动合并。</w:t>
      </w:r>
    </w:p>
    <w:p>
      <w:r>
        <w:t>本模块按00索引由11识别任务后调用；当所需专科资料和事实状态不足时先核对，不自行补全。</w:t>
      </w:r>
    </w:p>
    <w:p>
      <w:r>
        <w:br w:type="page"/>
      </w:r>
    </w:p>
    <w:p>
      <w:pPr>
        <w:pStyle w:val="Heading1"/>
      </w:pPr>
      <w:r>
        <w:t>目录</w:t>
      </w:r>
    </w:p>
    <w:p>
      <w:pPr>
        <w:spacing w:after="60"/>
        <w:ind w:left="0"/>
      </w:pPr>
      <w:hyperlink w:anchor="s0">
        <w:r>
          <w:t>四层治疗状态模型</w:t>
        </w:r>
      </w:hyperlink>
    </w:p>
    <w:p>
      <w:pPr>
        <w:spacing w:after="60"/>
        <w:ind w:left="227"/>
      </w:pPr>
      <w:hyperlink w:anchor="s1">
        <w:r>
          <w:t>术前优化与共病</w:t>
        </w:r>
      </w:hyperlink>
    </w:p>
    <w:p>
      <w:pPr>
        <w:spacing w:after="60"/>
        <w:ind w:left="227"/>
      </w:pPr>
      <w:hyperlink w:anchor="s2">
        <w:r>
          <w:t>抗菌预防</w:t>
        </w:r>
      </w:hyperlink>
    </w:p>
    <w:p>
      <w:pPr>
        <w:spacing w:after="60"/>
        <w:ind w:left="227"/>
      </w:pPr>
      <w:hyperlink w:anchor="s3">
        <w:r>
          <w:t>感染治疗调整停用</w:t>
        </w:r>
      </w:hyperlink>
    </w:p>
    <w:p>
      <w:pPr>
        <w:spacing w:after="60"/>
        <w:ind w:left="227"/>
      </w:pPr>
      <w:hyperlink w:anchor="s4">
        <w:r>
          <w:t>VTE及出血双评估</w:t>
        </w:r>
      </w:hyperlink>
    </w:p>
    <w:p>
      <w:pPr>
        <w:spacing w:after="60"/>
        <w:ind w:left="227"/>
      </w:pPr>
      <w:hyperlink w:anchor="s5">
        <w:r>
          <w:t>机械预防与药物预防</w:t>
        </w:r>
      </w:hyperlink>
    </w:p>
    <w:p>
      <w:pPr>
        <w:spacing w:after="60"/>
        <w:ind w:left="227"/>
      </w:pPr>
      <w:hyperlink w:anchor="s6">
        <w:r>
          <w:t>长期抗凝及抗血小板</w:t>
        </w:r>
      </w:hyperlink>
    </w:p>
    <w:p>
      <w:pPr>
        <w:spacing w:after="60"/>
        <w:ind w:left="227"/>
      </w:pPr>
      <w:hyperlink w:anchor="s7">
        <w:r>
          <w:t>补液与电解质</w:t>
        </w:r>
      </w:hyperlink>
    </w:p>
    <w:p>
      <w:pPr>
        <w:spacing w:after="60"/>
        <w:ind w:left="227"/>
      </w:pPr>
      <w:hyperlink w:anchor="s8">
        <w:r>
          <w:t>血糖与镇痛</w:t>
        </w:r>
      </w:hyperlink>
    </w:p>
    <w:p>
      <w:pPr>
        <w:spacing w:after="60"/>
        <w:ind w:left="227"/>
      </w:pPr>
      <w:hyperlink w:anchor="s9">
        <w:r>
          <w:t>营养风险与再喂养</w:t>
        </w:r>
      </w:hyperlink>
    </w:p>
    <w:p>
      <w:pPr>
        <w:spacing w:after="60"/>
        <w:ind w:left="227"/>
      </w:pPr>
      <w:hyperlink w:anchor="s10">
        <w:r>
          <w:t>肠内与肠外营养</w:t>
        </w:r>
      </w:hyperlink>
    </w:p>
    <w:p>
      <w:pPr>
        <w:spacing w:after="60"/>
        <w:ind w:left="227"/>
      </w:pPr>
      <w:hyperlink w:anchor="s11">
        <w:r>
          <w:t>输血与血制品</w:t>
        </w:r>
      </w:hyperlink>
    </w:p>
    <w:p>
      <w:pPr>
        <w:spacing w:after="60"/>
        <w:ind w:left="227"/>
      </w:pPr>
      <w:hyperlink w:anchor="s12">
        <w:r>
          <w:t>胃肠减压与饮食恢复</w:t>
        </w:r>
      </w:hyperlink>
    </w:p>
    <w:p>
      <w:pPr>
        <w:spacing w:after="60"/>
        <w:ind w:left="227"/>
      </w:pPr>
      <w:hyperlink w:anchor="s13">
        <w:r>
          <w:t>胆道与腹腔引流</w:t>
        </w:r>
      </w:hyperlink>
    </w:p>
    <w:p>
      <w:pPr>
        <w:spacing w:after="60"/>
        <w:ind w:left="227"/>
      </w:pPr>
      <w:hyperlink w:anchor="s14">
        <w:r>
          <w:t>胰腺术后及肝肾功能异常</w:t>
        </w:r>
      </w:hyperlink>
    </w:p>
    <w:p>
      <w:pPr>
        <w:spacing w:after="60"/>
        <w:ind w:left="227"/>
      </w:pPr>
      <w:hyperlink w:anchor="s15">
        <w:r>
          <w:t>停止暂缓恢复及疗效</w:t>
        </w:r>
      </w:hyperlink>
    </w:p>
    <w:p>
      <w:pPr>
        <w:spacing w:after="60"/>
        <w:ind w:left="0"/>
      </w:pPr>
      <w:hyperlink w:anchor="s16">
        <w:r>
          <w:t>原资料迁移依据</w:t>
        </w:r>
      </w:hyperlink>
    </w:p>
    <w:p>
      <w:pPr>
        <w:spacing w:after="60"/>
        <w:ind w:left="0"/>
      </w:pPr>
      <w:hyperlink w:anchor="s17">
        <w:r>
          <w:t>临床模拟示例 停药待执行</w:t>
        </w:r>
      </w:hyperlink>
    </w:p>
    <w:p>
      <w:pPr>
        <w:spacing w:after="60"/>
        <w:ind w:left="0"/>
      </w:pPr>
      <w:hyperlink w:anchor="s18">
        <w:r>
          <w:t>事实边界 常见错误及最终质量控制</w:t>
        </w:r>
      </w:hyperlink>
    </w:p>
    <w:p>
      <w:pPr>
        <w:spacing w:after="60"/>
        <w:ind w:left="0"/>
      </w:pPr>
      <w:hyperlink w:anchor="s19">
        <w:r>
          <w:t>与其他模块的协同关系</w:t>
        </w:r>
      </w:hyperlink>
    </w:p>
    <w:p>
      <w:pPr>
        <w:spacing w:after="60"/>
        <w:ind w:left="0"/>
      </w:pPr>
      <w:hyperlink w:anchor="s20">
        <w:r>
          <w:t>参考指南 版本与核验范围</w:t>
        </w:r>
      </w:hyperlink>
    </w:p>
    <w:p>
      <w:r>
        <w:t>完整分级导航可在Word或WPS的导航窗格展开。</w:t>
      </w:r>
    </w:p>
    <w:p>
      <w:r>
        <w:br w:type="page"/>
      </w:r>
    </w:p>
    <w:p>
      <w:bookmarkStart w:id="0" w:name="s0"/>
      <w:pPr>
        <w:pStyle w:val="Heading1"/>
      </w:pPr>
      <w:r>
        <w:t>四层治疗状态模型</w:t>
      </w:r>
      <w:bookmarkEnd w:id="0"/>
    </w:p>
    <w:p>
      <w:pPr>
        <w:widowControl/>
      </w:pPr>
      <w:r>
        <w:t>knowledge为医学知识；suggestion为待讨论建议；physician_plan为责任医师确定计划；executed_order为实际执行医嘱。另以order_status记录未开立、已开立待执行、执行中、暂停、停止、完成、取消。每个药物实例至少有名称、规格剂量、频次、途径、适应证、医嘱与执行起止时点、来源和责任者。缺少剂量等不能补常规剂量；只知道“抗感染”则不可补药名。不同药名、同名不同途径或疗程不自动合并。</w:t>
      </w:r>
    </w:p>
    <w:p>
      <w:bookmarkStart w:id="1" w:name="s1"/>
      <w:pPr>
        <w:pStyle w:val="Heading2"/>
      </w:pPr>
      <w:r>
        <w:t>术前优化与共病</w:t>
      </w:r>
      <w:bookmarkEnd w:id="1"/>
    </w:p>
    <w:p>
      <w:pPr>
        <w:widowControl/>
      </w:pPr>
      <w:r>
        <w:t>识别贫血、营养、感染、心肺肝肾及糖尿病等实际问题，急诊获益风险与优化时长个体化；不写检查全部完善或无禁忌，除非有实际评估。</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2" w:name="s2"/>
      <w:pPr>
        <w:pStyle w:val="Heading2"/>
      </w:pPr>
      <w:r>
        <w:t>抗菌预防</w:t>
      </w:r>
      <w:bookmarkEnd w:id="2"/>
    </w:p>
    <w:p>
      <w:pPr>
        <w:widowControl/>
      </w:pPr>
      <w:r>
        <w:t>记录预防适应证、切口类别、选药依据、过敏和给药时点；不因留置引流就延长预防，不把所有术式设为同一种药或统一疗程。</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3" w:name="s3"/>
      <w:pPr>
        <w:pStyle w:val="Heading2"/>
      </w:pPr>
      <w:r>
        <w:t>感染治疗调整停用</w:t>
      </w:r>
      <w:bookmarkEnd w:id="3"/>
    </w:p>
    <w:p>
      <w:pPr>
        <w:widowControl/>
      </w:pPr>
      <w:r>
        <w:t>先定位感染和源控制，结合严重程度、培养药敏、本院耐药及肝肾功能；区分经验、靶向、升级、降阶梯和停药。未获得执行时间不得写已停。</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4" w:name="s4"/>
      <w:pPr>
        <w:pStyle w:val="Heading2"/>
      </w:pPr>
      <w:r>
        <w:t>VTE及出血双评估</w:t>
      </w:r>
      <w:bookmarkEnd w:id="4"/>
    </w:p>
    <w:p>
      <w:pPr>
        <w:widowControl/>
      </w:pPr>
      <w:r>
        <w:t>记录评分工具与版本、每项原始数据、缺项及得分依据；危险等级和药物预防需兼顾出血与椎管内麻醉时序。活动性出血时不自动给抗凝。</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5" w:name="s5"/>
      <w:pPr>
        <w:pStyle w:val="Heading2"/>
      </w:pPr>
      <w:r>
        <w:t>机械预防与药物预防</w:t>
      </w:r>
      <w:bookmarkEnd w:id="5"/>
    </w:p>
    <w:p>
      <w:pPr>
        <w:widowControl/>
      </w:pPr>
      <w:r>
        <w:t>早期活动、机械措施及适用禁忌需真实评估；药物预防的品种剂量时点途径以医嘱为准，预防剂量与治疗剂量分开。</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6" w:name="s6"/>
      <w:pPr>
        <w:pStyle w:val="Heading2"/>
      </w:pPr>
      <w:r>
        <w:t>长期抗凝及抗血小板</w:t>
      </w:r>
      <w:bookmarkEnd w:id="6"/>
    </w:p>
    <w:p>
      <w:pPr>
        <w:widowControl/>
      </w:pPr>
      <w:r>
        <w:t>核实适应证、品种最后用药、肾功能、手术出血风险及血栓风险；停药、桥接和重启由实际医师决策，不自动套固定停药天数。</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7" w:name="s7"/>
      <w:pPr>
        <w:pStyle w:val="Heading2"/>
      </w:pPr>
      <w:r>
        <w:t>补液与电解质</w:t>
      </w:r>
      <w:bookmarkEnd w:id="7"/>
    </w:p>
    <w:p>
      <w:pPr>
        <w:widowControl/>
      </w:pPr>
      <w:r>
        <w:t>用灌注、体重、尿量、出入量、心肾功能及丢失来源评估；浓度速度与总量需真实医嘱，不凭单项钾钠值生成输注处方。</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8" w:name="s8"/>
      <w:pPr>
        <w:pStyle w:val="Heading2"/>
      </w:pPr>
      <w:r>
        <w:t>血糖与镇痛</w:t>
      </w:r>
      <w:bookmarkEnd w:id="8"/>
    </w:p>
    <w:p>
      <w:pPr>
        <w:widowControl/>
      </w:pPr>
      <w:r>
        <w:t>核实测量时点、进食与输注、既往药物，记录低血糖风险及复评；疼痛评分、活动痛和镇痛不良反应需真实采集，突然加重先排术后异常。</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9" w:name="s9"/>
      <w:pPr>
        <w:pStyle w:val="Heading2"/>
      </w:pPr>
      <w:r>
        <w:t>营养风险与再喂养</w:t>
      </w:r>
      <w:bookmarkEnd w:id="9"/>
    </w:p>
    <w:p>
      <w:pPr>
        <w:widowControl/>
      </w:pPr>
      <w:r>
        <w:t>营养筛查需工具及原始项；低摄入与体重变化、体成分及炎症综合评价。再喂养风险核实长期少摄入和磷钾镁等，营养启动与递增及监测由医师定，不能自动填目标热量。</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10" w:name="s10"/>
      <w:pPr>
        <w:pStyle w:val="Heading2"/>
      </w:pPr>
      <w:r>
        <w:t>肠内与肠外营养</w:t>
      </w:r>
      <w:bookmarkEnd w:id="10"/>
    </w:p>
    <w:p>
      <w:pPr>
        <w:widowControl/>
      </w:pPr>
      <w:r>
        <w:t>功能和耐受允许时考虑经口/肠内，不能进食或不足时评估替代支持；分别记录途径制剂量、耐受、实际输入、血糖电解质与导管问题，不把白蛋白输注当完整营养支持。</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11" w:name="s11"/>
      <w:pPr>
        <w:pStyle w:val="Heading2"/>
      </w:pPr>
      <w:r>
        <w:t>输血与血制品</w:t>
      </w:r>
      <w:bookmarkEnd w:id="11"/>
    </w:p>
    <w:p>
      <w:pPr>
        <w:widowControl/>
      </w:pPr>
      <w:r>
        <w:t>综合Hb趋势、活动出血、灌注缺氧、共病和制品适应证，不能仅凭阈值自动输血。实际制品种类数量、起止时间、知情同意及输后评价逐项有据。</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12" w:name="s12"/>
      <w:pPr>
        <w:pStyle w:val="Heading2"/>
      </w:pPr>
      <w:r>
        <w:t>胃肠减压与饮食恢复</w:t>
      </w:r>
      <w:bookmarkEnd w:id="12"/>
    </w:p>
    <w:p>
      <w:pPr>
        <w:widowControl/>
      </w:pPr>
      <w:r>
        <w:t>记录适应证、胃管在位及实际量、恶心呕吐与腹胀；进食按耐受和术式计划，不把排气设为所有患者唯一开食条件，也不按术后固定天数自动拔胃管。</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13" w:name="s13"/>
      <w:pPr>
        <w:pStyle w:val="Heading2"/>
      </w:pPr>
      <w:r>
        <w:t>胆道与腹腔引流</w:t>
      </w:r>
      <w:bookmarkEnd w:id="13"/>
    </w:p>
    <w:p>
      <w:pPr>
        <w:widowControl/>
      </w:pPr>
      <w:r>
        <w:t>引流目的、部位、性质、量、感染及漏证据决定评估；夹管、冲洗、造影、拔管均要真实决定与执行，不自行灌洗或固定日期拔管。</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14" w:name="s14"/>
      <w:pPr>
        <w:pStyle w:val="Heading2"/>
      </w:pPr>
      <w:r>
        <w:t>胰腺术后及肝肾功能异常</w:t>
      </w:r>
      <w:bookmarkEnd w:id="14"/>
    </w:p>
    <w:p>
      <w:pPr>
        <w:widowControl/>
      </w:pPr>
      <w:r>
        <w:t>胰酶相关引流、血糖、消化吸收和营养分开评价；药物与肝肾功能、肾替代治疗及相互作用相关，需实际药学/临床核对，不能泛写护肝抗感染已用。</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15" w:name="s15"/>
      <w:pPr>
        <w:pStyle w:val="Heading2"/>
      </w:pPr>
      <w:r>
        <w:t>停止暂缓恢复及疗效</w:t>
      </w:r>
      <w:bookmarkEnd w:id="15"/>
    </w:p>
    <w:p>
      <w:pPr>
        <w:widowControl/>
      </w:pPr>
      <w:r>
        <w:t>每条医嘱记录适应证、预期目标、开始调整暂缓停止恢复时点、决定者及执行证据、反应和监测；撤销医嘱与完成输注分别记录。</w:t>
      </w:r>
    </w:p>
    <w:p>
      <w:pPr>
        <w:keepNext/>
        <w:widowControl/>
      </w:pPr>
      <w:r>
        <w:t>文书模板：[记录日期及时间] 治疗决策及调整记录</w:t>
      </w:r>
    </w:p>
    <w:p>
      <w:pPr>
        <w:keepNext/>
        <w:keepLines/>
        <w:widowControl/>
        <w:spacing w:after="40" w:line="276" w:lineRule="auto"/>
      </w:pPr>
      <w:r>
        <w:rPr>
          <w:sz w:val="20"/>
        </w:rPr>
        <w:t>```text</w:t>
      </w:r>
    </w:p>
    <w:p>
      <w:pPr>
        <w:keepNext/>
        <w:keepLines/>
        <w:widowControl/>
        <w:spacing w:after="40" w:line="276" w:lineRule="auto"/>
      </w:pPr>
      <w:r>
        <w:rPr>
          <w:sz w:val="20"/>
        </w:rPr>
        <w:t>患者当前[症状体征及检查]，已接受[真实治疗及起止时点]，反应[事实]。基于[适应证与风险]，医师确定[计划]；实际医嘱[药物名称剂量频次途径疗程和执行状态]。后续观察[疗效、不良反应及复评目标]。</w:t>
      </w:r>
    </w:p>
    <w:p>
      <w:pPr>
        <w:keepLines/>
        <w:widowControl/>
        <w:spacing w:after="40" w:line="276" w:lineRule="auto"/>
      </w:pPr>
      <w:r>
        <w:rPr>
          <w:sz w:val="20"/>
        </w:rPr>
        <w:t>```</w:t>
      </w:r>
    </w:p>
    <w:p>
      <w:pPr>
        <w:widowControl/>
      </w:pPr>
      <w:r>
        <w:t>缺项：先核药单及执行记录，不能把模板建议转为已执行。质控：适应证、禁忌、肝肾功能、过敏、相互作用及停药状态。</w:t>
      </w:r>
    </w:p>
    <w:p>
      <w:bookmarkStart w:id="16" w:name="s16"/>
      <w:pPr>
        <w:pStyle w:val="Heading1"/>
      </w:pPr>
      <w:r>
        <w:t>原资料迁移依据</w:t>
      </w:r>
      <w:bookmarkEnd w:id="16"/>
    </w:p>
    <w:p>
      <w:pPr>
        <w:widowControl/>
      </w:pPr>
      <w:r>
        <w:t>来源：普外科指令库/普外科抗菌药物、VTE、营养支持、输血及围手术期治疗决策文书模板库.docx，正文段落索引496至529（包含空段的提取序号）。以下为核对用原规则节选，不是患者文书；旧编号、旧格式和未加槽位的通用正常描述不再执行，统一由01和本模块新规则替代。</w:t>
      </w:r>
    </w:p>
    <w:p>
      <w:pPr>
        <w:widowControl/>
      </w:pPr>
      <w:r>
        <w:t>二十一、VTE总原则；VTE管理必须同时考虑：；血栓风险；与；出血风险。；风险因素可包括：；高龄；；恶性肿瘤；；大手术；；腹盆腔手术；；长期卧床；；既往VTE；；肥胖；；感染；；脱水；；静脉导管；；其他。；只能根据真实资料使用。；二十二、正式评分；Caprini等评分只有患者已正式完成或信息完整且用户明确要求时记录具体分值。；不得根据部分信息自行计算后写入正式病历。</w:t>
      </w:r>
    </w:p>
    <w:p>
      <w:pPr>
        <w:widowControl/>
      </w:pPr>
      <w:r>
        <w:t>迁移结果：保留本节的采集维度与动态分析逻辑；删去原总目录的13/14文件路由和甲乳专病路由，编号改用00—11及101—108；标准正常状态全部改为有来源的事实槽位。</w:t>
      </w:r>
    </w:p>
    <w:p>
      <w:bookmarkStart w:id="17" w:name="s17"/>
      <w:pPr>
        <w:pStyle w:val="Heading1"/>
      </w:pPr>
      <w:r>
        <w:t>临床模拟示例 停药待执行</w:t>
      </w:r>
      <w:bookmarkEnd w:id="17"/>
    </w:p>
    <w:p>
      <w:pPr>
        <w:widowControl/>
      </w:pPr>
      <w:r>
        <w:t>模拟医师09:00决定停预防用药，医嘱10:00停止、最后给药08:00：09:30记录为已决定停用待医嘱落实，不能写已停执行。</w:t>
      </w:r>
    </w:p>
    <w:p>
      <w:bookmarkStart w:id="18" w:name="s18"/>
      <w:pPr>
        <w:pStyle w:val="Heading1"/>
      </w:pPr>
      <w:r>
        <w:t>事实边界 常见错误及最终质量控制</w:t>
      </w:r>
      <w:bookmarkEnd w:id="18"/>
    </w:p>
    <w:p>
      <w:pPr>
        <w:widowControl/>
      </w:pPr>
      <w:r>
        <w:t>患者实际资料优先于模板；01为本系统最高执行规则。事实分为已核实、待核实、相互冲突、明确未做、未提供五态；未提供不等于阴性。不得编造症状、体征、生命体征、腹部查体、检验、影像、内镜、病理、分期、手术与麻醉、术中经过、出血输血、吻合与切缘、清扫范围、管道数量位置及量、排气排便、饮食、药物执行、并发症、会诊、医患意愿、沟通同意或医师实际意见。稳定背景可以继承；当日症状、查体、管道流量和生命体征必须由当日或注明时间的资料支撑。历史异常应注明历史时间，不能无声变为今日体征。</w:t>
      </w:r>
    </w:p>
    <w:p>
      <w:pPr>
        <w:widowControl/>
      </w:pPr>
      <w:r>
        <w:t>本模块常见错误：将知识写成已治疗、模板默认正常、旧资料当今日、新病理写入旧记录、管道和停药状态遗漏。执行前核住院身份及任务，填充时逐句核来源，输出前联10检查事实、诊断、状态、时序及格式。正式输出统一执行01的text代码框规则。</w:t>
      </w:r>
    </w:p>
    <w:p>
      <w:bookmarkStart w:id="19" w:name="s19"/>
      <w:pPr>
        <w:pStyle w:val="Heading1"/>
      </w:pPr>
      <w:r>
        <w:t>与其他模块的协同关系</w:t>
      </w:r>
      <w:bookmarkEnd w:id="19"/>
    </w:p>
    <w:p>
      <w:pPr>
        <w:widowControl/>
      </w:pPr>
      <w:r>
        <w:t>读取任务与资料→核对住院号和本次住院标识→逐条建立事实及来源时间→判断疾病证据和手术状态→选择功能模块和一个主专病模块→必要时添加相关专病及异常模块→仅用可用事实填槽→10审查→输出正文。检查、处置均区分提出、医师决定、医嘱开立与实际执行。资料不足优先提出最少必要问题；非关键缺项可省略并在框外说明；身份、实际术式、关键药物或病理冲突阻断净稿。</w:t>
      </w:r>
    </w:p>
    <w:p>
      <w:pPr>
        <w:widowControl/>
      </w:pPr>
      <w:r>
        <w:t>统一索引见00_普外科AI病历系统总入口与模块调用索引；最高规则见01_普外科病历书写助手最高执行指令；病例状态见11_普外科AI自动调用路由与病例状态管理规则库；最终审查见10_普外科病历最终质控诊断修正及时间轴一致性审查库。</w:t>
      </w:r>
    </w:p>
    <w:p>
      <w:bookmarkStart w:id="20" w:name="s20"/>
      <w:pPr>
        <w:pStyle w:val="Heading1"/>
      </w:pPr>
      <w:r>
        <w:t>参考指南 版本与核验范围</w:t>
      </w:r>
      <w:bookmarkEnd w:id="20"/>
    </w:p>
    <w:p>
      <w:pPr>
        <w:widowControl/>
      </w:pPr>
      <w:r>
        <w:t>核验日期：2026年10月26日。以下记录实际核验层级，不将书目或摘要核验冒称全文逐条审查，不宣称已穷尽所有现行指南。中国法规和院内流程作为病历管理依据；国际指南作为专科定义或补充，不能替代中国处方、准入和知情同意要求。未核验的评分、精确阈值、药物剂量或推荐强度不自动生成；适用时需补查原文和院内制度。</w:t>
      </w:r>
    </w:p>
    <w:p>
      <w:pPr>
        <w:widowControl/>
      </w:pPr>
      <w:r>
        <w:t>病历书写基本规范｜原卫生部｜2010</w:t>
      </w:r>
    </w:p>
    <w:p>
      <w:pPr>
        <w:widowControl/>
      </w:pPr>
      <w:r>
        <w:t>适用：全模块；客观真实与记录项目、时限</w:t>
      </w:r>
    </w:p>
    <w:p>
      <w:pPr>
        <w:widowControl/>
      </w:pPr>
      <w:r>
        <w:t>核验层级：官方正文</w:t>
      </w:r>
    </w:p>
    <w:p>
      <w:pPr>
        <w:widowControl/>
      </w:pPr>
      <w:r>
        <w:t>来源：https://www.nhc.gov.cn/bgt/s10696/201002/8cd7d4d70f4b42da839d2428dcbf723c.shtml</w:t>
      </w:r>
    </w:p>
    <w:p>
      <w:pPr>
        <w:widowControl/>
      </w:pPr>
      <w:r>
        <w:t>核验日期：2026-10-26</w:t>
      </w:r>
    </w:p>
    <w:p>
      <w:pPr>
        <w:widowControl/>
      </w:pPr>
      <w:r>
        <w:t>医疗质量安全核心制度要点｜国家卫生健康委员会｜2018</w:t>
      </w:r>
    </w:p>
    <w:p>
      <w:pPr>
        <w:widowControl/>
      </w:pPr>
      <w:r>
        <w:t>适用：查房、会诊、手术讨论、危急值与交接</w:t>
      </w:r>
    </w:p>
    <w:p>
      <w:pPr>
        <w:widowControl/>
      </w:pPr>
      <w:r>
        <w:t>核验层级：官方通知及制度</w:t>
      </w:r>
    </w:p>
    <w:p>
      <w:pPr>
        <w:widowControl/>
      </w:pPr>
      <w:r>
        <w:t>来源：https://www.nhc.gov.cn/yzygj/c100068/201804/42ab2552298047679cd6ec733f233862.shtml</w:t>
      </w:r>
    </w:p>
    <w:p>
      <w:pPr>
        <w:widowControl/>
      </w:pPr>
      <w:r>
        <w:t>核验日期：2026-10-26</w:t>
      </w:r>
    </w:p>
    <w:p>
      <w:pPr>
        <w:widowControl/>
      </w:pPr>
      <w:r>
        <w:t>电子病历应用管理规范 试行｜原国家卫生计生委 国家中医药管理局｜2017</w:t>
      </w:r>
    </w:p>
    <w:p>
      <w:pPr>
        <w:widowControl/>
      </w:pPr>
      <w:r>
        <w:t>适用：电子病历权限、修改留痕与签名</w:t>
      </w:r>
    </w:p>
    <w:p>
      <w:pPr>
        <w:widowControl/>
      </w:pPr>
      <w:r>
        <w:t>核验层级：官方正文</w:t>
      </w:r>
    </w:p>
    <w:p>
      <w:pPr>
        <w:widowControl/>
      </w:pPr>
      <w:r>
        <w:t>来源：https://www.nhc.gov.cn/wjw/c100175/201702/90f3de8ae03d488cbddf509dc958f75b.shtml</w:t>
      </w:r>
    </w:p>
    <w:p>
      <w:pPr>
        <w:widowControl/>
      </w:pPr>
      <w:r>
        <w:t>核验日期：2026-10-26</w:t>
      </w:r>
    </w:p>
    <w:p>
      <w:pPr>
        <w:widowControl/>
      </w:pPr>
      <w:r>
        <w:t>抗菌药物临床应用指导原则｜原国家卫生计生委等｜2015</w:t>
      </w:r>
    </w:p>
    <w:p>
      <w:pPr>
        <w:widowControl/>
      </w:pPr>
      <w:r>
        <w:t>适用：预防与治疗分离、病原学及停药审核</w:t>
      </w:r>
    </w:p>
    <w:p>
      <w:pPr>
        <w:widowControl/>
      </w:pPr>
      <w:r>
        <w:t>核验层级：官方通知；具体药物另核药品说明书和本院耐药数据</w:t>
      </w:r>
    </w:p>
    <w:p>
      <w:pPr>
        <w:widowControl/>
      </w:pPr>
      <w:r>
        <w:t>来源：https://www.nhc.gov.cn/yzygj/c100068/201508/9f7136d6fb034339a7c9348c72a8a1fd.shtml</w:t>
      </w:r>
    </w:p>
    <w:p>
      <w:pPr>
        <w:widowControl/>
      </w:pPr>
      <w:r>
        <w:t>核验日期：2026-10-26</w:t>
      </w:r>
    </w:p>
    <w:p>
      <w:pPr>
        <w:widowControl/>
      </w:pPr>
      <w:r>
        <w:t>中国普通外科围手术期血栓预防与管理指南｜中华医学会外科学分会｜2016发表 2015制定</w:t>
      </w:r>
    </w:p>
    <w:p>
      <w:pPr>
        <w:widowControl/>
      </w:pPr>
      <w:r>
        <w:t>适用：中国普外科VTE和出血双评估框架</w:t>
      </w:r>
    </w:p>
    <w:p>
      <w:pPr>
        <w:widowControl/>
      </w:pPr>
      <w:r>
        <w:t>核验层级：学会期刊正文；不称最新</w:t>
      </w:r>
    </w:p>
    <w:p>
      <w:pPr>
        <w:widowControl/>
      </w:pPr>
      <w:r>
        <w:t>来源：https://cmab.yiigle.com/uploads/guide_html/中国普通外科围手术期血栓预防与管理指南.html</w:t>
      </w:r>
    </w:p>
    <w:p>
      <w:pPr>
        <w:widowControl/>
      </w:pPr>
      <w:r>
        <w:t>核验日期：2026-10-26</w:t>
      </w:r>
    </w:p>
    <w:p>
      <w:pPr>
        <w:widowControl/>
      </w:pPr>
      <w:r>
        <w:t>European guidelines on peri operative VTE prophylaxis First update｜ESAIC等｜2024</w:t>
      </w:r>
    </w:p>
    <w:p>
      <w:pPr>
        <w:widowControl/>
      </w:pPr>
      <w:r>
        <w:t>适用：围术期VTE与出血风险更新补充</w:t>
      </w:r>
    </w:p>
    <w:p>
      <w:pPr>
        <w:widowControl/>
      </w:pPr>
      <w:r>
        <w:t>核验层级：学会目录与原始执行摘要 PMID 38957019</w:t>
      </w:r>
    </w:p>
    <w:p>
      <w:pPr>
        <w:widowControl/>
      </w:pPr>
      <w:r>
        <w:t>来源：https://esaic.org/guideline/perioperative-venous-thromboembolism-prophylaxis/</w:t>
      </w:r>
    </w:p>
    <w:p>
      <w:pPr>
        <w:widowControl/>
      </w:pPr>
      <w:r>
        <w:t>核验日期：2026-10-26</w:t>
      </w:r>
    </w:p>
    <w:p>
      <w:pPr>
        <w:widowControl/>
      </w:pPr>
      <w:r>
        <w:t>ESPEN guideline on clinical nutrition in surgery Update｜ESPEN｜2025</w:t>
      </w:r>
    </w:p>
    <w:p>
      <w:pPr>
        <w:widowControl/>
      </w:pPr>
      <w:r>
        <w:t>适用：营养筛查、途径与围术期营养监测</w:t>
      </w:r>
    </w:p>
    <w:p>
      <w:pPr>
        <w:widowControl/>
      </w:pPr>
      <w:r>
        <w:t>核验层级：学会PDF；不将营养目标自动转为医嘱</w:t>
      </w:r>
    </w:p>
    <w:p>
      <w:pPr>
        <w:widowControl/>
      </w:pPr>
      <w:r>
        <w:t>来源：https://www.espen.org/files/ESPEN-guideline-on-clinical-nutrition-in-surgery-Update-2025.pdf</w:t>
      </w:r>
    </w:p>
    <w:p>
      <w:pPr>
        <w:widowControl/>
      </w:pPr>
      <w:r>
        <w:t>核验日期：2026-10-26</w:t>
      </w:r>
    </w:p>
    <w:p>
      <w:pPr>
        <w:widowControl/>
      </w:pPr>
      <w:r>
        <w:t>ISGPS胰瘘原文有2024年勘误，已核对系作者姓名更正，未改变临床定义：PMID 38926000，DOI 10.1016/j.surg.2024.05.043。版本更新应登记变更来源、影响路径、审核者与回归测试；未完成验证不替换已批准院内路径。</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07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Songti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07_普外科治疗决策围手术期用药及医嘱表达规则库</dc:title>
  <dc:subject>普外科医学文书规则与模板</dc:subject>
  <dc:creator/>
  <cp:keywords>V2.0;事实核对;责任医师审核</cp:keywords>
  <dc:description>generated by python-docx</dc:description>
  <cp:lastModifiedBy/>
  <cp:revision>1</cp:revision>
  <dcterms:created xsi:type="dcterms:W3CDTF">2013-12-23T23:15:00Z</dcterms:created>
  <dcterms:modified xsi:type="dcterms:W3CDTF">2013-12-23T23:15:00Z</dcterms:modified>
  <cp:category/>
</cp:coreProperties>
</file>