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普外科术后恢复营养管道造口及出院随访模板库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分开最后排气、最后排便、是否由造口排出、饮食种类和实际摄入、恶心呕吐及胃管量；无资料就未知。饮食医嘱和实际耐受独立，不按POD自动推进。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227"/>
      </w:pPr>
      <w:hyperlink w:anchor="s0">
        <w:r>
          <w:t>胃肠恢复与饮食</w:t>
        </w:r>
      </w:hyperlink>
    </w:p>
    <w:p>
      <w:pPr>
        <w:spacing w:after="60"/>
        <w:ind w:left="227"/>
      </w:pPr>
      <w:hyperlink w:anchor="s1">
        <w:r>
          <w:t>活动与营养</w:t>
        </w:r>
      </w:hyperlink>
    </w:p>
    <w:p>
      <w:pPr>
        <w:spacing w:after="60"/>
        <w:ind w:left="227"/>
      </w:pPr>
      <w:hyperlink w:anchor="s2">
        <w:r>
          <w:t>切口换药与拆线</w:t>
        </w:r>
      </w:hyperlink>
    </w:p>
    <w:p>
      <w:pPr>
        <w:spacing w:after="60"/>
        <w:ind w:left="227"/>
      </w:pPr>
      <w:hyperlink w:anchor="s3">
        <w:r>
          <w:t>腹腔及胰周引流</w:t>
        </w:r>
      </w:hyperlink>
    </w:p>
    <w:p>
      <w:pPr>
        <w:spacing w:after="60"/>
        <w:ind w:left="227"/>
      </w:pPr>
      <w:hyperlink w:anchor="s4">
        <w:r>
          <w:t>胆道T管PTCD与ENBD</w:t>
        </w:r>
      </w:hyperlink>
    </w:p>
    <w:p>
      <w:pPr>
        <w:spacing w:after="60"/>
        <w:ind w:left="227"/>
      </w:pPr>
      <w:hyperlink w:anchor="s5">
        <w:r>
          <w:t>胃管与尿管</w:t>
        </w:r>
      </w:hyperlink>
    </w:p>
    <w:p>
      <w:pPr>
        <w:spacing w:after="60"/>
        <w:ind w:left="227"/>
      </w:pPr>
      <w:hyperlink w:anchor="s6">
        <w:r>
          <w:t>造口与周围皮肤</w:t>
        </w:r>
      </w:hyperlink>
    </w:p>
    <w:p>
      <w:pPr>
        <w:spacing w:after="60"/>
        <w:ind w:left="227"/>
      </w:pPr>
      <w:hyperlink w:anchor="s7">
        <w:r>
          <w:t>出院前评估</w:t>
        </w:r>
      </w:hyperlink>
    </w:p>
    <w:p>
      <w:pPr>
        <w:spacing w:after="60"/>
        <w:ind w:left="227"/>
      </w:pPr>
      <w:hyperlink w:anchor="s8">
        <w:r>
          <w:t>药单与随访责任</w:t>
        </w:r>
      </w:hyperlink>
    </w:p>
    <w:p>
      <w:pPr>
        <w:spacing w:after="60"/>
        <w:ind w:left="227"/>
      </w:pPr>
      <w:hyperlink w:anchor="s9">
        <w:r>
          <w:t>警示与长期管理</w:t>
        </w:r>
      </w:hyperlink>
    </w:p>
    <w:p>
      <w:pPr>
        <w:spacing w:after="60"/>
        <w:ind w:left="0"/>
      </w:pPr>
      <w:hyperlink w:anchor="s10">
        <w:r>
          <w:t>原资料迁移依据</w:t>
        </w:r>
      </w:hyperlink>
    </w:p>
    <w:p>
      <w:pPr>
        <w:spacing w:after="60"/>
        <w:ind w:left="0"/>
      </w:pPr>
      <w:hyperlink w:anchor="s11">
        <w:r>
          <w:t>临床模拟示例 带管出院</w:t>
        </w:r>
      </w:hyperlink>
    </w:p>
    <w:p>
      <w:pPr>
        <w:spacing w:after="60"/>
        <w:ind w:left="0"/>
      </w:pPr>
      <w:hyperlink w:anchor="s12">
        <w:r>
          <w:t>事实边界 常见错误及最终质量控制</w:t>
        </w:r>
      </w:hyperlink>
    </w:p>
    <w:p>
      <w:pPr>
        <w:spacing w:after="60"/>
        <w:ind w:left="0"/>
      </w:pPr>
      <w:hyperlink w:anchor="s13">
        <w:r>
          <w:t>与其他模块的协同关系</w:t>
        </w:r>
      </w:hyperlink>
    </w:p>
    <w:p>
      <w:pPr>
        <w:spacing w:after="60"/>
        <w:ind w:left="0"/>
      </w:pPr>
      <w:hyperlink w:anchor="s14">
        <w:r>
          <w:t>参考指南 版本与核验范围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2"/>
      </w:pPr>
      <w:r>
        <w:t>胃肠恢复与饮食</w:t>
      </w:r>
      <w:bookmarkEnd w:id="0"/>
    </w:p>
    <w:p>
      <w:pPr>
        <w:widowControl/>
      </w:pPr>
      <w:r>
        <w:t>分开最后排气、最后排便、是否由造口排出、饮食种类和实际摄入、恶心呕吐及胃管量；无资料就未知。饮食医嘱和实际耐受独立，不按POD自动推进。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1" w:name="s1"/>
      <w:pPr>
        <w:pStyle w:val="Heading2"/>
      </w:pPr>
      <w:r>
        <w:t>活动与营养</w:t>
      </w:r>
      <w:bookmarkEnd w:id="1"/>
    </w:p>
    <w:p>
      <w:pPr>
        <w:widowControl/>
      </w:pPr>
      <w:r>
        <w:t>记录卧床起坐下床的实际完成、耐受及协助；营养途径、目标与实际输入、体重功能及电解质监测分开，不将下床建议写为已经活动。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2" w:name="s2"/>
      <w:pPr>
        <w:pStyle w:val="Heading2"/>
      </w:pPr>
      <w:r>
        <w:t>切口换药与拆线</w:t>
      </w:r>
      <w:bookmarkEnd w:id="2"/>
    </w:p>
    <w:p>
      <w:pPr>
        <w:widowControl/>
      </w:pPr>
      <w:r>
        <w:t>拆除敷料前只写敷料外观；换药记录实际时间、切口长度部位、渗液性质、处理和新敷料；拆线记录部位数量、切口评估与实际完成，不能按固定日期自动拆线。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3" w:name="s3"/>
      <w:pPr>
        <w:pStyle w:val="Heading2"/>
      </w:pPr>
      <w:r>
        <w:t>腹腔及胰周引流</w:t>
      </w:r>
      <w:bookmarkEnd w:id="3"/>
    </w:p>
    <w:p>
      <w:pPr>
        <w:widowControl/>
      </w:pPr>
      <w:r>
        <w:t>建立管道ID及解剖位置；每次记录统计时段的量与性状、固定和功能，胰周液检验与相应管道对应。拔除需医师评估及实际操作时间，量少不单独满足拔除条件。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4" w:name="s4"/>
      <w:pPr>
        <w:pStyle w:val="Heading2"/>
      </w:pPr>
      <w:r>
        <w:t>胆道T管PTCD与ENBD</w:t>
      </w:r>
      <w:bookmarkEnd w:id="4"/>
    </w:p>
    <w:p>
      <w:pPr>
        <w:widowControl/>
      </w:pPr>
      <w:r>
        <w:t>类型位置、置入原因和时间、外引流量、胆汁性状、黄疸感染和夹管状态分开；夹管试验及造影有实际依据才记。带管出院需防牵拉、异常识别与返院评估，拔管不采用统一天数。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5" w:name="s5"/>
      <w:pPr>
        <w:pStyle w:val="Heading2"/>
      </w:pPr>
      <w:r>
        <w:t>胃管与尿管</w:t>
      </w:r>
      <w:bookmarkEnd w:id="5"/>
    </w:p>
    <w:p>
      <w:pPr>
        <w:widowControl/>
      </w:pPr>
      <w:r>
        <w:t>置入、接减压、拔除及再置管事件独立。尿量明确统计时段与是否含拔管后自主排尿；胃管拔除不等于已开始饮食。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6" w:name="s6"/>
      <w:pPr>
        <w:pStyle w:val="Heading2"/>
      </w:pPr>
      <w:r>
        <w:t>造口与周围皮肤</w:t>
      </w:r>
      <w:bookmarkEnd w:id="6"/>
    </w:p>
    <w:p>
      <w:pPr>
        <w:widowControl/>
      </w:pPr>
      <w:r>
        <w:t>记录类型位置、血运、皮肤黏膜交界、排出及计量时段、袋具渗漏和护理能力；高排出结合脱水肾功能电解质判断；造口还纳须评估原病情及远端肠道，不能自动安排。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7" w:name="s7"/>
      <w:pPr>
        <w:pStyle w:val="Heading2"/>
      </w:pPr>
      <w:r>
        <w:t>出院前评估</w:t>
      </w:r>
      <w:bookmarkEnd w:id="7"/>
    </w:p>
    <w:p>
      <w:pPr>
        <w:widowControl/>
      </w:pPr>
      <w:r>
        <w:t>症状和生命体征、饮食排泄活动、疼痛控制、切口管道、感染出血风险、共病、照护能力、待回病理检查及药单逐项确认；可带管出院不等于所有管已拔，未满足条件由医师定计划。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8" w:name="s8"/>
      <w:pPr>
        <w:pStyle w:val="Heading2"/>
      </w:pPr>
      <w:r>
        <w:t>药单与随访责任</w:t>
      </w:r>
      <w:bookmarkEnd w:id="8"/>
    </w:p>
    <w:p>
      <w:pPr>
        <w:widowControl/>
      </w:pPr>
      <w:r>
        <w:t>出院药与住院停药核对，具体品种剂量频次途径期限来自处方；明确复诊日期地点、检查任务、待回结果通知及责任人。恶性肿瘤复诊安排根据病理分期和MDT，不编统一复查周期。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9" w:name="s9"/>
      <w:pPr>
        <w:pStyle w:val="Heading2"/>
      </w:pPr>
      <w:r>
        <w:t>警示与长期管理</w:t>
      </w:r>
      <w:bookmarkEnd w:id="9"/>
    </w:p>
    <w:p>
      <w:pPr>
        <w:widowControl/>
      </w:pPr>
      <w:r>
        <w:t>根据术式提示加重腹痛、发热寒战、黄疸、出血、持续呕吐、呼吸困难、少尿及管道脱出等及时就医；全胃切除营养缺乏、胰切除内外分泌问题及脾切除感染预防分专病指导，疫苗按适用现行免疫程序和医师评估，不自动宣称已接种。</w:t>
      </w:r>
    </w:p>
    <w:p>
      <w:pPr>
        <w:keepNext/>
        <w:widowControl/>
      </w:pPr>
      <w:r>
        <w:t>[记录日期及时间] 恢复管理及出院衔接记录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患者目前[实测恢复状态]，[相关管道或造口、切口真实情况]，治疗及护理[实际落实情况]。经评估[存在问题与医师决定]；后续[具体饮食营养活动护理计划、复诊任务与警示]。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必要信息不足则框外列核对项；无明确病理不写良恶性最终结论。</w:t>
      </w:r>
    </w:p>
    <w:p>
      <w:bookmarkStart w:id="10" w:name="s10"/>
      <w:pPr>
        <w:pStyle w:val="Heading1"/>
      </w:pPr>
      <w:r>
        <w:t>原资料迁移依据</w:t>
      </w:r>
      <w:bookmarkEnd w:id="10"/>
    </w:p>
    <w:p>
      <w:pPr>
        <w:widowControl/>
      </w:pPr>
      <w:r>
        <w:t>来源：普外科指令库/胃肠及急腹症专病模板库.docx，正文段落索引1579至1635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第十三部分：胃肠减压、营养与水电解质；七十九、胃肠减压记录；胃管应记录：；固定；；通畅；；胃液颜色；；性质；；量；；患者腹胀；；恶心；；呕吐；；排气排便。；常用：；胃管固定在位、通畅，可见……色胃液引出。患者腹胀较前……，目前已/未排气排便。继续保持胃肠减压通畅，动态观察胃液性质、量及胃肠功能恢复情况。；八十、拔胃管记录；只有实际决定拔管时使用。；重点依据：；腹胀缓解；；恶心呕吐；；胃液量；；排气；；腹部体征；；手术类型。；模板：；患者目前一般情况……，无明显恶心、呕吐及腹胀，腹部……，已……排气，胃管引流……。结合患者胃肠功能恢复情况，今日予拔除胃管，拔管过程顺利，后续根据胃肠功能逐步调整饮食。；不得机械按术后天数拔管。；八十一、肠内营养；重点：；途径；；耐受；；腹胀；；腹泻；；恶心；；呕吐；；排便；；营养目标。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11" w:name="s11"/>
      <w:pPr>
        <w:pStyle w:val="Heading1"/>
      </w:pPr>
      <w:r>
        <w:t>临床模拟示例 带管出院</w:t>
      </w:r>
      <w:bookmarkEnd w:id="11"/>
    </w:p>
    <w:p>
      <w:pPr>
        <w:widowControl/>
      </w:pPr>
      <w:r>
        <w:t>模拟腹腔管D1已拔而T1仍留：出院记录分别写D1拔除日期与T1在位护理，不写全部管道已拔。</w:t>
      </w:r>
    </w:p>
    <w:p>
      <w:bookmarkStart w:id="12" w:name="s12"/>
      <w:pPr>
        <w:pStyle w:val="Heading1"/>
      </w:pPr>
      <w:r>
        <w:t>事实边界 常见错误及最终质量控制</w:t>
      </w:r>
      <w:bookmarkEnd w:id="12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13" w:name="s13"/>
      <w:pPr>
        <w:pStyle w:val="Heading1"/>
      </w:pPr>
      <w:r>
        <w:t>与其他模块的协同关系</w:t>
      </w:r>
      <w:bookmarkEnd w:id="13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14" w:name="s14"/>
      <w:pPr>
        <w:pStyle w:val="Heading1"/>
      </w:pPr>
      <w:r>
        <w:t>参考指南 版本与核验范围</w:t>
      </w:r>
      <w:bookmarkEnd w:id="14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ESPEN guideline on clinical nutrition in surgery Update｜ESPEN｜2025</w:t>
      </w:r>
    </w:p>
    <w:p>
      <w:pPr>
        <w:widowControl/>
      </w:pPr>
      <w:r>
        <w:t>适用：营养筛查、途径与围术期营养监测</w:t>
      </w:r>
    </w:p>
    <w:p>
      <w:pPr>
        <w:widowControl/>
      </w:pPr>
      <w:r>
        <w:t>核验层级：学会PDF；不将营养目标自动转为医嘱</w:t>
      </w:r>
    </w:p>
    <w:p>
      <w:pPr>
        <w:widowControl/>
      </w:pPr>
      <w:r>
        <w:t>来源：https://www.espen.org/files/ESPEN-guideline-on-clinical-nutrition-in-surgery-Update-2025.pdf</w:t>
      </w:r>
    </w:p>
    <w:p>
      <w:pPr>
        <w:widowControl/>
      </w:pPr>
      <w:r>
        <w:t>核验日期：2026-10-26</w:t>
      </w:r>
    </w:p>
    <w:p>
      <w:pPr>
        <w:widowControl/>
      </w:pPr>
      <w:r>
        <w:t>ERAS liver surgery recommendations｜ERAS Society｜2022</w:t>
      </w:r>
    </w:p>
    <w:p>
      <w:pPr>
        <w:widowControl/>
      </w:pPr>
      <w:r>
        <w:t>适用：肝手术康复与多模式围术期管理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来源：https://pmc.ncbi.nlm.nih.gov/articles/PMC9726826/</w:t>
      </w:r>
    </w:p>
    <w:p>
      <w:pPr>
        <w:widowControl/>
      </w:pPr>
      <w:r>
        <w:t>核验日期：2026-10-26</w:t>
      </w:r>
    </w:p>
    <w:p>
      <w:pPr>
        <w:widowControl/>
      </w:pPr>
      <w:r>
        <w:t>Enhanced recovery after colon and rectal surgery｜ASCRS SAGES｜2023</w:t>
      </w:r>
    </w:p>
    <w:p>
      <w:pPr>
        <w:widowControl/>
      </w:pPr>
      <w:r>
        <w:t>适用：结直肠康复路径和个体化管道饮食管理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来源：https://pmc.ncbi.nlm.nih.gov/articles/PMC9839829/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09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09_普外科术后恢复营养管道造口及出院随访模板库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