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老年内科专科检查与老年综合评估模板库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11类查体执行规范与模板  |  </w:t>
        </w:r>
      </w:hyperlink>
      <w:hyperlink w:anchor="s4">
        <w:r>
          <w:t>4 老年综合评估的12类核心领域  |  </w:t>
        </w:r>
      </w:hyperlink>
      <w:hyperlink w:anchor="s5">
        <w:r>
          <w:t>5 常用工具的适用条件 变量 时间与解释  |  </w:t>
        </w:r>
      </w:hyperlink>
      <w:hyperlink w:anchor="s6">
        <w:r>
          <w:t>6 肌少症及营养诊断的版本边界  |  </w:t>
        </w:r>
      </w:hyperlink>
      <w:hyperlink w:anchor="s7">
        <w:r>
          <w:t>7 CGA整合文书模板  |  </w:t>
        </w:r>
      </w:hyperlink>
      <w:hyperlink w:anchor="s8">
        <w:r>
          <w:t>8 医学事实边界与协同规则  |  </w:t>
        </w:r>
      </w:hyperlink>
      <w:hyperlink w:anchor="s9">
        <w:r>
          <w:t>9 常见错误与禁止事项  |  </w:t>
        </w:r>
      </w:hyperlink>
      <w:hyperlink w:anchor="s10">
        <w:r>
          <w:t>10 典型临床应用示例  |  </w:t>
        </w:r>
      </w:hyperlink>
      <w:hyperlink w:anchor="s11">
        <w:r>
          <w:t>11 质量控制清单  |  </w:t>
        </w:r>
      </w:hyperlink>
      <w:hyperlink w:anchor="s12">
        <w:r>
          <w:t>12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所属层级：第二级 通用功能层。模块职责：系统查体、CGA与量表变量审查。</w:t>
      </w:r>
    </w:p>
    <w:p>
      <w:r>
        <w:rPr>
          <w:b/>
        </w:rPr>
        <w:t xml:space="preserve">调用条件  </w:t>
      </w:r>
      <w:r>
        <w:t>需系统查体、功能基线、CGA、老年综合征识别或出院能力判断。</w:t>
      </w:r>
    </w:p>
    <w:p>
      <w:r>
        <w:rPr>
          <w:b/>
        </w:rPr>
        <w:t xml:space="preserve">所需患者资料  </w:t>
      </w:r>
      <w:r>
        <w:t>评估目的、病前功能、当次实际查体、逐项量表资料、工具版本、评估者及影响因素。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1．先排查急性不稳定、谵妄、低氧和低血糖，必要时转06。</w:t>
      </w:r>
    </w:p>
    <w:p>
      <w:r>
        <w:t>2．分别采集病前基线和住院当前状态，不把急性卧床当原有失能。</w:t>
      </w:r>
    </w:p>
    <w:p>
      <w:r>
        <w:t>3．选择最小充分工具，记录每项变量和不能测的原因。</w:t>
      </w:r>
    </w:p>
    <w:p>
      <w:r>
        <w:t>4．解释筛查结果，必要时按疾病证据诊断；多领域问题形成计划。</w:t>
      </w:r>
    </w:p>
    <w:p>
      <w:r>
        <w:t>5．按问题安排复评，把实际评估与待评估事项分开。</w:t>
      </w:r>
    </w:p>
    <w:p>
      <w:bookmarkStart w:id="3" w:name="s3"/>
      <w:pPr>
        <w:pStyle w:val="Heading1"/>
      </w:pPr>
      <w:r>
        <w:t>3 11类查体执行规范与模板</w:t>
      </w:r>
      <w:bookmarkEnd w:id="3"/>
    </w:p>
    <w:p>
      <w:pPr>
        <w:pStyle w:val="Heading2"/>
      </w:pPr>
      <w:r>
        <w:t>老年患者完整体格检查</w:t>
      </w:r>
    </w:p>
    <w:p>
      <w:r>
        <w:t>检查要点：生命体征与测量条件、一般情况、皮肤、头颈、心肺、腹部、四肢和神经；活动耐量与交流能力。</w:t>
      </w:r>
    </w:p>
    <w:p>
      <w:pPr>
        <w:keepNext/>
      </w:pPr>
      <w:r>
        <w:t>【文书实际日期及时间】 老年患者完整体格检查记录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【已完成的具体检查所见、测量条件及与基线比较】。</w:t>
      </w:r>
    </w:p>
    <w:p>
      <w:pPr>
        <w:pStyle w:val="Code"/>
      </w:pPr>
      <w:r>
        <w:t>```</w:t>
      </w:r>
    </w:p>
    <w:p>
      <w:r>
        <w:t>资料不足时仅保留已检查部分，不能将待检查系统补为正常。</w:t>
      </w:r>
    </w:p>
    <w:p>
      <w:pPr>
        <w:pStyle w:val="Heading2"/>
      </w:pPr>
      <w:r>
        <w:t>心血管系统</w:t>
      </w:r>
    </w:p>
    <w:p>
      <w:r>
        <w:t>检查要点：卧位与必要时立位血压、心率心律、杂音、颈静脉、末梢灌注及水肿；不凭心率齐否确诊房颤。</w:t>
      </w:r>
    </w:p>
    <w:p>
      <w:pPr>
        <w:keepNext/>
      </w:pPr>
      <w:r>
        <w:t>【文书实际日期及时间】 心血管系统记录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【已完成的具体检查所见、测量条件及与基线比较】。</w:t>
      </w:r>
    </w:p>
    <w:p>
      <w:pPr>
        <w:pStyle w:val="Code"/>
      </w:pPr>
      <w:r>
        <w:t>```</w:t>
      </w:r>
    </w:p>
    <w:p>
      <w:r>
        <w:t>资料不足时仅保留已检查部分，不能将待检查系统补为正常。</w:t>
      </w:r>
    </w:p>
    <w:p>
      <w:pPr>
        <w:pStyle w:val="Heading2"/>
      </w:pPr>
      <w:r>
        <w:t>呼吸系统</w:t>
      </w:r>
    </w:p>
    <w:p>
      <w:r>
        <w:t>检查要点：呼吸频率、用力程度、胸廓、听叩诊、氧装置与SpO2同次记录；不以吸氧后正常值证明无低氧。</w:t>
      </w:r>
    </w:p>
    <w:p>
      <w:pPr>
        <w:keepNext/>
      </w:pPr>
      <w:r>
        <w:t>【文书实际日期及时间】 呼吸系统记录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【已完成的具体检查所见、测量条件及与基线比较】。</w:t>
      </w:r>
    </w:p>
    <w:p>
      <w:pPr>
        <w:pStyle w:val="Code"/>
      </w:pPr>
      <w:r>
        <w:t>```</w:t>
      </w:r>
    </w:p>
    <w:p>
      <w:r>
        <w:t>资料不足时仅保留已检查部分，不能将待检查系统补为正常。</w:t>
      </w:r>
    </w:p>
    <w:p>
      <w:pPr>
        <w:pStyle w:val="Heading2"/>
      </w:pPr>
      <w:r>
        <w:t>神经系统</w:t>
      </w:r>
    </w:p>
    <w:p>
      <w:r>
        <w:t>检查要点：意识、语言、瞳孔、颅神经、肌力肌张力、感觉、共济与病理征；明确侧别和基线。</w:t>
      </w:r>
    </w:p>
    <w:p>
      <w:pPr>
        <w:keepNext/>
      </w:pPr>
      <w:r>
        <w:t>【文书实际日期及时间】 神经系统记录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【已完成的具体检查所见、测量条件及与基线比较】。</w:t>
      </w:r>
    </w:p>
    <w:p>
      <w:pPr>
        <w:pStyle w:val="Code"/>
      </w:pPr>
      <w:r>
        <w:t>```</w:t>
      </w:r>
    </w:p>
    <w:p>
      <w:r>
        <w:t>资料不足时仅保留已检查部分，不能将待检查系统补为正常。</w:t>
      </w:r>
    </w:p>
    <w:p>
      <w:pPr>
        <w:pStyle w:val="Heading2"/>
      </w:pPr>
      <w:r>
        <w:t>腹部及消化系统</w:t>
      </w:r>
    </w:p>
    <w:p>
      <w:r>
        <w:t>检查要点：视触叩听、压痛反跳痛、肠鸣音、肝脾及腹水；直肠检查仅在适应证和实际完成时写。</w:t>
      </w:r>
    </w:p>
    <w:p>
      <w:pPr>
        <w:keepNext/>
      </w:pPr>
      <w:r>
        <w:t>【文书实际日期及时间】 腹部及消化系统记录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【已完成的具体检查所见、测量条件及与基线比较】。</w:t>
      </w:r>
    </w:p>
    <w:p>
      <w:pPr>
        <w:pStyle w:val="Code"/>
      </w:pPr>
      <w:r>
        <w:t>```</w:t>
      </w:r>
    </w:p>
    <w:p>
      <w:r>
        <w:t>资料不足时仅保留已检查部分，不能将待检查系统补为正常。</w:t>
      </w:r>
    </w:p>
    <w:p>
      <w:pPr>
        <w:pStyle w:val="Heading2"/>
      </w:pPr>
      <w:r>
        <w:t>肾脏泌尿相关</w:t>
      </w:r>
    </w:p>
    <w:p>
      <w:r>
        <w:t>检查要点：容量、肾区叩痛、膀胱区、排尿、尿量与导管；水肿不等于肾病。</w:t>
      </w:r>
    </w:p>
    <w:p>
      <w:pPr>
        <w:keepNext/>
      </w:pPr>
      <w:r>
        <w:t>【文书实际日期及时间】 肾脏泌尿相关记录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【已完成的具体检查所见、测量条件及与基线比较】。</w:t>
      </w:r>
    </w:p>
    <w:p>
      <w:pPr>
        <w:pStyle w:val="Code"/>
      </w:pPr>
      <w:r>
        <w:t>```</w:t>
      </w:r>
    </w:p>
    <w:p>
      <w:r>
        <w:t>资料不足时仅保留已检查部分，不能将待检查系统补为正常。</w:t>
      </w:r>
    </w:p>
    <w:p>
      <w:pPr>
        <w:pStyle w:val="Heading2"/>
      </w:pPr>
      <w:r>
        <w:t>肌肉骨骼功能</w:t>
      </w:r>
    </w:p>
    <w:p>
      <w:r>
        <w:t>检查要点：关节活动、疼痛、握力及转移；注明辅助器具和协助程度，急性不稳定时不强行测试。</w:t>
      </w:r>
    </w:p>
    <w:p>
      <w:pPr>
        <w:keepNext/>
      </w:pPr>
      <w:r>
        <w:t>【文书实际日期及时间】 肌肉骨骼功能记录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【已完成的具体检查所见、测量条件及与基线比较】。</w:t>
      </w:r>
    </w:p>
    <w:p>
      <w:pPr>
        <w:pStyle w:val="Code"/>
      </w:pPr>
      <w:r>
        <w:t>```</w:t>
      </w:r>
    </w:p>
    <w:p>
      <w:r>
        <w:t>资料不足时仅保留已检查部分，不能将待检查系统补为正常。</w:t>
      </w:r>
    </w:p>
    <w:p>
      <w:pPr>
        <w:pStyle w:val="Heading2"/>
      </w:pPr>
      <w:r>
        <w:t>意识与精神状态</w:t>
      </w:r>
    </w:p>
    <w:p>
      <w:r>
        <w:t>检查要点：警觉、定向、注意、思维、行为和急性波动；家属基线与现场表现分开。</w:t>
      </w:r>
    </w:p>
    <w:p>
      <w:pPr>
        <w:keepNext/>
      </w:pPr>
      <w:r>
        <w:t>【文书实际日期及时间】 意识与精神状态记录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【已完成的具体检查所见、测量条件及与基线比较】。</w:t>
      </w:r>
    </w:p>
    <w:p>
      <w:pPr>
        <w:pStyle w:val="Code"/>
      </w:pPr>
      <w:r>
        <w:t>```</w:t>
      </w:r>
    </w:p>
    <w:p>
      <w:r>
        <w:t>资料不足时仅保留已检查部分，不能将待检查系统补为正常。</w:t>
      </w:r>
    </w:p>
    <w:p>
      <w:pPr>
        <w:pStyle w:val="Heading2"/>
      </w:pPr>
      <w:r>
        <w:t>营养状态</w:t>
      </w:r>
    </w:p>
    <w:p>
      <w:r>
        <w:t>检查要点：实测身高体重、近期变化、摄入、口腔、肌脂肪丢失、水肿；白蛋白仅为影响因素之一。</w:t>
      </w:r>
    </w:p>
    <w:p>
      <w:pPr>
        <w:keepNext/>
      </w:pPr>
      <w:r>
        <w:t>【文书实际日期及时间】 营养状态记录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【已完成的具体检查所见、测量条件及与基线比较】。</w:t>
      </w:r>
    </w:p>
    <w:p>
      <w:pPr>
        <w:pStyle w:val="Code"/>
      </w:pPr>
      <w:r>
        <w:t>```</w:t>
      </w:r>
    </w:p>
    <w:p>
      <w:r>
        <w:t>资料不足时仅保留已检查部分，不能将待检查系统补为正常。</w:t>
      </w:r>
    </w:p>
    <w:p>
      <w:pPr>
        <w:pStyle w:val="Heading2"/>
      </w:pPr>
      <w:r>
        <w:t>步态与平衡</w:t>
      </w:r>
    </w:p>
    <w:p>
      <w:r>
        <w:t>检查要点：起立转移、步速、转身、辅助器具及保护人数；安全不能保证时中止。</w:t>
      </w:r>
    </w:p>
    <w:p>
      <w:pPr>
        <w:keepNext/>
      </w:pPr>
      <w:r>
        <w:t>【文书实际日期及时间】 步态与平衡记录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【已完成的具体检查所见、测量条件及与基线比较】。</w:t>
      </w:r>
    </w:p>
    <w:p>
      <w:pPr>
        <w:pStyle w:val="Code"/>
      </w:pPr>
      <w:r>
        <w:t>```</w:t>
      </w:r>
    </w:p>
    <w:p>
      <w:r>
        <w:t>资料不足时仅保留已检查部分，不能将待检查系统补为正常。</w:t>
      </w:r>
    </w:p>
    <w:p>
      <w:pPr>
        <w:pStyle w:val="Heading2"/>
      </w:pPr>
      <w:r>
        <w:t>吞咽功能</w:t>
      </w:r>
    </w:p>
    <w:p>
      <w:r>
        <w:t>检查要点：警觉、口腔、声音、咳嗽、既往呛咳和进食观察；按本院筛查流程，阳性转专科评估，不擅自做大量饮水试验。</w:t>
      </w:r>
    </w:p>
    <w:p>
      <w:pPr>
        <w:keepNext/>
      </w:pPr>
      <w:r>
        <w:t>【文书实际日期及时间】 吞咽功能记录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【已完成的具体检查所见、测量条件及与基线比较】。</w:t>
      </w:r>
    </w:p>
    <w:p>
      <w:pPr>
        <w:pStyle w:val="Code"/>
      </w:pPr>
      <w:r>
        <w:t>```</w:t>
      </w:r>
    </w:p>
    <w:p>
      <w:r>
        <w:t>资料不足时仅保留已检查部分，不能将待检查系统补为正常。</w:t>
      </w:r>
    </w:p>
    <w:p>
      <w:bookmarkStart w:id="4" w:name="s4"/>
      <w:pPr>
        <w:pStyle w:val="Heading1"/>
      </w:pPr>
      <w:r>
        <w:t>4 老年综合评估的12类核心领域</w:t>
      </w:r>
      <w:bookmarkEnd w:id="4"/>
    </w:p>
    <w:p>
      <w:r>
        <w:t>CGA覆盖疾病与共病、ADL、IADL、衰弱、肌少症、认知、谵妄、抑郁、跌倒、压力损伤、多重用药、家庭照护及社会支持；营养、吞咽、视听、疼痛与排泄作为关联领域。CGA不是一个统一总分。形成问题清单、优势资源、患者目标、干预责任和复评节点。</w:t>
      </w:r>
    </w:p>
    <w:p>
      <w:r>
        <w:t>多重用药评估记录处方、非处方、中药、保健品和实际服用，接07进行适应证、相互作用、肾功能与依从性核对。家庭及社会支持记录居住、实际照护者、愿意且能够承担的任务、经济交通、服药与紧急求助能力；“有子女”不能自动视为照护充分。</w:t>
      </w:r>
    </w:p>
    <w:p>
      <w:bookmarkStart w:id="5" w:name="s5"/>
      <w:pPr>
        <w:pStyle w:val="Heading1"/>
      </w:pPr>
      <w:r>
        <w:t>5 常用工具的适用条件 变量 时间与解释</w:t>
      </w:r>
      <w:bookmarkEnd w:id="5"/>
    </w:p>
    <w:p>
      <w:pPr>
        <w:pStyle w:val="Heading2"/>
      </w:pPr>
      <w:r>
        <w:t>Katz ADL</w:t>
      </w:r>
    </w:p>
    <w:p>
      <w:r>
        <w:rPr>
          <w:b/>
        </w:rPr>
        <w:t xml:space="preserve">适用人群及用途  </w:t>
      </w:r>
      <w:r>
        <w:t>基础生活功能评估</w:t>
      </w:r>
    </w:p>
    <w:p>
      <w:r>
        <w:rPr>
          <w:b/>
        </w:rPr>
        <w:t xml:space="preserve">评分所需变量  </w:t>
      </w:r>
      <w:r>
        <w:t>洗澡、穿衣、如厕、转移、大小便控制、进食及逐项依赖程度</w:t>
      </w:r>
    </w:p>
    <w:p>
      <w:r>
        <w:rPr>
          <w:b/>
        </w:rPr>
        <w:t xml:space="preserve">评估时间  </w:t>
      </w:r>
      <w:r>
        <w:t>入院基线及急性期、转衔和出院复评</w:t>
      </w:r>
    </w:p>
    <w:p>
      <w:r>
        <w:rPr>
          <w:b/>
        </w:rPr>
        <w:t xml:space="preserve">结果解释与限制  </w:t>
      </w:r>
      <w:r>
        <w:t>可用六项独立性或本院明确版本；不同ADL版本总分不能互换</w:t>
      </w:r>
    </w:p>
    <w:p>
      <w:pPr>
        <w:pStyle w:val="Heading2"/>
      </w:pPr>
      <w:r>
        <w:t>Barthel指数</w:t>
      </w:r>
    </w:p>
    <w:p>
      <w:r>
        <w:rPr>
          <w:b/>
        </w:rPr>
        <w:t xml:space="preserve">适用人群及用途  </w:t>
      </w:r>
      <w:r>
        <w:t>卒中及多病共存功能评价</w:t>
      </w:r>
    </w:p>
    <w:p>
      <w:r>
        <w:rPr>
          <w:b/>
        </w:rPr>
        <w:t xml:space="preserve">评分所需变量  </w:t>
      </w:r>
      <w:r>
        <w:t>进食、洗澡、修饰、穿衣、大便、小便、如厕、床椅转移、平地行走、上下楼梯共10项实际能力</w:t>
      </w:r>
    </w:p>
    <w:p>
      <w:r>
        <w:rPr>
          <w:b/>
        </w:rPr>
        <w:t xml:space="preserve">评估时间  </w:t>
      </w:r>
      <w:r>
        <w:t>标明病前基线与当前时点</w:t>
      </w:r>
    </w:p>
    <w:p>
      <w:r>
        <w:rPr>
          <w:b/>
        </w:rPr>
        <w:t xml:space="preserve">结果解释与限制  </w:t>
      </w:r>
      <w:r>
        <w:t>常用0至100分，另有0至20分及改良版本；不能只据卧床状态赋分，依赖分层按本院版本</w:t>
      </w:r>
    </w:p>
    <w:p>
      <w:pPr>
        <w:pStyle w:val="Heading2"/>
      </w:pPr>
      <w:r>
        <w:t>Lawton IADL</w:t>
      </w:r>
    </w:p>
    <w:p>
      <w:r>
        <w:rPr>
          <w:b/>
        </w:rPr>
        <w:t xml:space="preserve">适用人群及用途  </w:t>
      </w:r>
      <w:r>
        <w:t>社区生活和出院自我管理能力</w:t>
      </w:r>
    </w:p>
    <w:p>
      <w:r>
        <w:rPr>
          <w:b/>
        </w:rPr>
        <w:t xml:space="preserve">评分所需变量  </w:t>
      </w:r>
      <w:r>
        <w:t>电话、购物、备餐、家务、洗衣、交通、服药、理财及既往角色</w:t>
      </w:r>
    </w:p>
    <w:p>
      <w:r>
        <w:rPr>
          <w:b/>
        </w:rPr>
        <w:t xml:space="preserve">评估时间  </w:t>
      </w:r>
      <w:r>
        <w:t>病前基线、出院及随访</w:t>
      </w:r>
    </w:p>
    <w:p>
      <w:r>
        <w:rPr>
          <w:b/>
        </w:rPr>
        <w:t xml:space="preserve">结果解释与限制  </w:t>
      </w:r>
      <w:r>
        <w:t>常用8领域；总分与方向依版本，不能用传统性别角色缺项判定能力障碍</w:t>
      </w:r>
    </w:p>
    <w:p>
      <w:pPr>
        <w:pStyle w:val="Heading2"/>
      </w:pPr>
      <w:r>
        <w:t>MMSE</w:t>
      </w:r>
    </w:p>
    <w:p>
      <w:r>
        <w:rPr>
          <w:b/>
        </w:rPr>
        <w:t xml:space="preserve">适用人群及用途  </w:t>
      </w:r>
      <w:r>
        <w:t>有认知主诉者筛查</w:t>
      </w:r>
    </w:p>
    <w:p>
      <w:r>
        <w:rPr>
          <w:b/>
        </w:rPr>
        <w:t xml:space="preserve">评分所需变量  </w:t>
      </w:r>
      <w:r>
        <w:t>定向、即刻记忆、注意计算、延迟回忆、语言及视空间原始作答；教育、语言、视听条件</w:t>
      </w:r>
    </w:p>
    <w:p>
      <w:r>
        <w:rPr>
          <w:b/>
        </w:rPr>
        <w:t xml:space="preserve">评估时间  </w:t>
      </w:r>
      <w:r>
        <w:t>急性谵妄控制后或注明急性影响</w:t>
      </w:r>
    </w:p>
    <w:p>
      <w:r>
        <w:rPr>
          <w:b/>
        </w:rPr>
        <w:t xml:space="preserve">结果解释与限制  </w:t>
      </w:r>
      <w:r>
        <w:t>常见总分30；教育及文化相关阈值不同，不能凭总分直接确诊痴呆或分型</w:t>
      </w:r>
    </w:p>
    <w:p>
      <w:pPr>
        <w:pStyle w:val="Heading2"/>
      </w:pPr>
      <w:r>
        <w:t>MoCA</w:t>
      </w:r>
    </w:p>
    <w:p>
      <w:r>
        <w:rPr>
          <w:b/>
        </w:rPr>
        <w:t xml:space="preserve">适用人群及用途  </w:t>
      </w:r>
      <w:r>
        <w:t>轻度认知障碍等筛查</w:t>
      </w:r>
    </w:p>
    <w:p>
      <w:r>
        <w:rPr>
          <w:b/>
        </w:rPr>
        <w:t xml:space="preserve">评分所需变量  </w:t>
      </w:r>
      <w:r>
        <w:t>视空间执行、命名、注意、语言、抽象、延迟回忆、定向；工具版本及教育年限</w:t>
      </w:r>
    </w:p>
    <w:p>
      <w:r>
        <w:rPr>
          <w:b/>
        </w:rPr>
        <w:t xml:space="preserve">评估时间  </w:t>
      </w:r>
      <w:r>
        <w:t>条件适宜时，前后采用相同版本并注意练习效应</w:t>
      </w:r>
    </w:p>
    <w:p>
      <w:r>
        <w:rPr>
          <w:b/>
        </w:rPr>
        <w:t xml:space="preserve">结果解释与限制  </w:t>
      </w:r>
      <w:r>
        <w:t>常见总分30；标准版本教育≤12年按官方规则加1且不超30；不能把26作为所有中国人统一诊断阈值，官方用途授权及培训另核</w:t>
      </w:r>
    </w:p>
    <w:p>
      <w:pPr>
        <w:pStyle w:val="Heading2"/>
      </w:pPr>
      <w:r>
        <w:t>MNA-SF</w:t>
      </w:r>
    </w:p>
    <w:p>
      <w:r>
        <w:rPr>
          <w:b/>
        </w:rPr>
        <w:t xml:space="preserve">适用人群及用途  </w:t>
      </w:r>
      <w:r>
        <w:t>老年营养风险筛查</w:t>
      </w:r>
    </w:p>
    <w:p>
      <w:r>
        <w:rPr>
          <w:b/>
        </w:rPr>
        <w:t xml:space="preserve">评分所需变量  </w:t>
      </w:r>
      <w:r>
        <w:t>近3个月摄入变化、体重下降、活动、急病或应激、神经精神问题、BMI；不能测BMI时按工具用小腿围替代</w:t>
      </w:r>
    </w:p>
    <w:p>
      <w:r>
        <w:rPr>
          <w:b/>
        </w:rPr>
        <w:t xml:space="preserve">评估时间  </w:t>
      </w:r>
      <w:r>
        <w:t>入院及摄入体重变化后复评</w:t>
      </w:r>
    </w:p>
    <w:p>
      <w:r>
        <w:rPr>
          <w:b/>
        </w:rPr>
        <w:t xml:space="preserve">结果解释与限制  </w:t>
      </w:r>
      <w:r>
        <w:t>0至14；12至14通常无风险、8至11有风险、0至7提示营养不良；作为工具分类，临床诊断仍须综合评估</w:t>
      </w:r>
    </w:p>
    <w:p>
      <w:pPr>
        <w:pStyle w:val="Heading2"/>
      </w:pPr>
      <w:r>
        <w:t>FRAIL</w:t>
      </w:r>
    </w:p>
    <w:p>
      <w:r>
        <w:rPr>
          <w:b/>
        </w:rPr>
        <w:t xml:space="preserve">适用人群及用途  </w:t>
      </w:r>
      <w:r>
        <w:t>老年衰弱筛查</w:t>
      </w:r>
    </w:p>
    <w:p>
      <w:r>
        <w:rPr>
          <w:b/>
        </w:rPr>
        <w:t xml:space="preserve">评分所需变量  </w:t>
      </w:r>
      <w:r>
        <w:t>疲乏、上楼能力、步行能力、疾病数量、非意愿体重下降及相应时间窗</w:t>
      </w:r>
    </w:p>
    <w:p>
      <w:r>
        <w:rPr>
          <w:b/>
        </w:rPr>
        <w:t xml:space="preserve">评估时间  </w:t>
      </w:r>
      <w:r>
        <w:t>病前基线或稳定期，急性影响另记</w:t>
      </w:r>
    </w:p>
    <w:p>
      <w:r>
        <w:rPr>
          <w:b/>
        </w:rPr>
        <w:t xml:space="preserve">结果解释与限制  </w:t>
      </w:r>
      <w:r>
        <w:t>5项各0或1；0健壮、1至2衰弱前期、3至5衰弱筛查阳性；实际问答不全不给总分</w:t>
      </w:r>
    </w:p>
    <w:p>
      <w:pPr>
        <w:pStyle w:val="Heading2"/>
      </w:pPr>
      <w:r>
        <w:t>CFS 2.0</w:t>
      </w:r>
    </w:p>
    <w:p>
      <w:r>
        <w:rPr>
          <w:b/>
        </w:rPr>
        <w:t xml:space="preserve">适用人群及用途  </w:t>
      </w:r>
      <w:r>
        <w:t>通常≥65岁者整体衰弱评估</w:t>
      </w:r>
    </w:p>
    <w:p>
      <w:r>
        <w:rPr>
          <w:b/>
        </w:rPr>
        <w:t xml:space="preserve">评分所需变量  </w:t>
      </w:r>
      <w:r>
        <w:t>病前通常约2周的活动、生活独立、共病和认知等实际基线资料及专业判断</w:t>
      </w:r>
    </w:p>
    <w:p>
      <w:r>
        <w:rPr>
          <w:b/>
        </w:rPr>
        <w:t xml:space="preserve">评估时间  </w:t>
      </w:r>
      <w:r>
        <w:t>急性病时评价基线，当前损害另外记录</w:t>
      </w:r>
    </w:p>
    <w:p>
      <w:r>
        <w:rPr>
          <w:b/>
        </w:rPr>
        <w:t xml:space="preserve">结果解释与限制  </w:t>
      </w:r>
      <w:r>
        <w:t>1至9级不是年龄分；9指终末期疾病情形，不等于最重衰弱；不将慢性残疾简单等同衰弱</w:t>
      </w:r>
    </w:p>
    <w:p>
      <w:pPr>
        <w:pStyle w:val="Heading2"/>
      </w:pPr>
      <w:r>
        <w:t>SARC-F</w:t>
      </w:r>
    </w:p>
    <w:p>
      <w:r>
        <w:rPr>
          <w:b/>
        </w:rPr>
        <w:t xml:space="preserve">适用人群及用途  </w:t>
      </w:r>
      <w:r>
        <w:t>肌少症风险筛查</w:t>
      </w:r>
    </w:p>
    <w:p>
      <w:r>
        <w:rPr>
          <w:b/>
        </w:rPr>
        <w:t xml:space="preserve">评分所需变量  </w:t>
      </w:r>
      <w:r>
        <w:t>力量、行走协助、起椅、上楼梯、跌倒5项实际情况</w:t>
      </w:r>
    </w:p>
    <w:p>
      <w:r>
        <w:rPr>
          <w:b/>
        </w:rPr>
        <w:t xml:space="preserve">评估时间  </w:t>
      </w:r>
      <w:r>
        <w:t>入院筛查、稳定期和康复复评</w:t>
      </w:r>
    </w:p>
    <w:p>
      <w:r>
        <w:rPr>
          <w:b/>
        </w:rPr>
        <w:t xml:space="preserve">结果解释与限制  </w:t>
      </w:r>
      <w:r>
        <w:t>0至10，≥4常作为风险提示；不证明肌量下降，不独立确诊肌少症</w:t>
      </w:r>
    </w:p>
    <w:p>
      <w:pPr>
        <w:pStyle w:val="Heading2"/>
      </w:pPr>
      <w:r>
        <w:t>CAM</w:t>
      </w:r>
    </w:p>
    <w:p>
      <w:r>
        <w:rPr>
          <w:b/>
        </w:rPr>
        <w:t xml:space="preserve">适用人群及用途  </w:t>
      </w:r>
      <w:r>
        <w:t>有急性意识认知改变者</w:t>
      </w:r>
    </w:p>
    <w:p>
      <w:r>
        <w:rPr>
          <w:b/>
        </w:rPr>
        <w:t xml:space="preserve">评分所需变量  </w:t>
      </w:r>
      <w:r>
        <w:t>急性起病或波动、注意障碍、思维紊乱、意识水平改变四特征及真实检查</w:t>
      </w:r>
    </w:p>
    <w:p>
      <w:r>
        <w:rPr>
          <w:b/>
        </w:rPr>
        <w:t xml:space="preserve">评估时间  </w:t>
      </w:r>
      <w:r>
        <w:t>出现变化时及必要的连续复评</w:t>
      </w:r>
    </w:p>
    <w:p>
      <w:r>
        <w:rPr>
          <w:b/>
        </w:rPr>
        <w:t xml:space="preserve">结果解释与限制  </w:t>
      </w:r>
      <w:r>
        <w:t>特征1与2并存，再有3或4支持阳性；不是四项简单求和。昏迷或严重交流受限需说明适用性</w:t>
      </w:r>
    </w:p>
    <w:p>
      <w:pPr>
        <w:pStyle w:val="Heading2"/>
      </w:pPr>
      <w:r>
        <w:t>4AT</w:t>
      </w:r>
    </w:p>
    <w:p>
      <w:r>
        <w:rPr>
          <w:b/>
        </w:rPr>
        <w:t xml:space="preserve">适用人群及用途  </w:t>
      </w:r>
      <w:r>
        <w:t>急性场景谵妄快速筛查</w:t>
      </w:r>
    </w:p>
    <w:p>
      <w:r>
        <w:rPr>
          <w:b/>
        </w:rPr>
        <w:t xml:space="preserve">评分所需变量  </w:t>
      </w:r>
      <w:r>
        <w:t>警觉性、AMT4、倒背月份注意力、急性变化或波动；现场观察和基线信息</w:t>
      </w:r>
    </w:p>
    <w:p>
      <w:r>
        <w:rPr>
          <w:b/>
        </w:rPr>
        <w:t xml:space="preserve">评估时间  </w:t>
      </w:r>
      <w:r>
        <w:t>急性改变时，可重复评估</w:t>
      </w:r>
    </w:p>
    <w:p>
      <w:r>
        <w:rPr>
          <w:b/>
        </w:rPr>
        <w:t xml:space="preserve">结果解释与限制  </w:t>
      </w:r>
      <w:r>
        <w:t>总分0至12；≥4提示可能谵妄，1至3提示认知受损可能，0不能排除。实际无法测试的项目可依官方规则给分；未提供项目不同于实际无法测试</w:t>
      </w:r>
    </w:p>
    <w:p>
      <w:pPr>
        <w:pStyle w:val="Heading2"/>
      </w:pPr>
      <w:r>
        <w:t>GDS-15</w:t>
      </w:r>
    </w:p>
    <w:p>
      <w:r>
        <w:rPr>
          <w:b/>
        </w:rPr>
        <w:t xml:space="preserve">适用人群及用途  </w:t>
      </w:r>
      <w:r>
        <w:t>具备相应沟通认知条件的老年抑郁筛查</w:t>
      </w:r>
    </w:p>
    <w:p>
      <w:r>
        <w:rPr>
          <w:b/>
        </w:rPr>
        <w:t xml:space="preserve">评分所需变量  </w:t>
      </w:r>
      <w:r>
        <w:t>完整15项真实回答、工具语言版本、近期情绪和自伤想法另行临床询问</w:t>
      </w:r>
    </w:p>
    <w:p>
      <w:r>
        <w:rPr>
          <w:b/>
        </w:rPr>
        <w:t xml:space="preserve">评估时间  </w:t>
      </w:r>
      <w:r>
        <w:t>病情稳定且能够可靠作答时</w:t>
      </w:r>
    </w:p>
    <w:p>
      <w:r>
        <w:rPr>
          <w:b/>
        </w:rPr>
        <w:t xml:space="preserve">结果解释与限制  </w:t>
      </w:r>
      <w:r>
        <w:t>0至15，常用≥5提示需进一步评估；不同验证版本阈值须注明，不能以分数直接确诊抑郁症</w:t>
      </w:r>
    </w:p>
    <w:p>
      <w:pPr>
        <w:pStyle w:val="Heading2"/>
      </w:pPr>
      <w:r>
        <w:t>跌倒综合评估</w:t>
      </w:r>
    </w:p>
    <w:p>
      <w:r>
        <w:rPr>
          <w:b/>
        </w:rPr>
        <w:t xml:space="preserve">适用人群及用途  </w:t>
      </w:r>
      <w:r>
        <w:t>住院老年及既往跌倒者</w:t>
      </w:r>
    </w:p>
    <w:p>
      <w:r>
        <w:rPr>
          <w:b/>
        </w:rPr>
        <w:t xml:space="preserve">评分所需变量  </w:t>
      </w:r>
      <w:r>
        <w:t>既往跌倒、体位血压、药物、视力、步态平衡、认知、鞋具、环境和协助条件</w:t>
      </w:r>
    </w:p>
    <w:p>
      <w:r>
        <w:rPr>
          <w:b/>
        </w:rPr>
        <w:t xml:space="preserve">评估时间  </w:t>
      </w:r>
      <w:r>
        <w:t>入院、跌倒后、药变及出院</w:t>
      </w:r>
    </w:p>
    <w:p>
      <w:r>
        <w:rPr>
          <w:b/>
        </w:rPr>
        <w:t xml:space="preserve">结果解释与限制  </w:t>
      </w:r>
      <w:r>
        <w:t>TUG等记录实测条件与结果；单一评分不应替代综合评估或宣称无跌倒风险</w:t>
      </w:r>
    </w:p>
    <w:p>
      <w:pPr>
        <w:pStyle w:val="Heading2"/>
      </w:pPr>
      <w:r>
        <w:t>Braden等压力损伤风险工具</w:t>
      </w:r>
    </w:p>
    <w:p>
      <w:r>
        <w:rPr>
          <w:b/>
        </w:rPr>
        <w:t xml:space="preserve">适用人群及用途  </w:t>
      </w:r>
      <w:r>
        <w:t>卧床、营养及活动受限者</w:t>
      </w:r>
    </w:p>
    <w:p>
      <w:r>
        <w:rPr>
          <w:b/>
        </w:rPr>
        <w:t xml:space="preserve">评分所需变量  </w:t>
      </w:r>
      <w:r>
        <w:t>按所选版本记录感觉、潮湿、活动、移动、营养、摩擦剪切等实际项</w:t>
      </w:r>
    </w:p>
    <w:p>
      <w:r>
        <w:rPr>
          <w:b/>
        </w:rPr>
        <w:t xml:space="preserve">评估时间  </w:t>
      </w:r>
      <w:r>
        <w:t>入院、病情或活动营养变化时</w:t>
      </w:r>
    </w:p>
    <w:p>
      <w:r>
        <w:rPr>
          <w:b/>
        </w:rPr>
        <w:t xml:space="preserve">结果解释与限制  </w:t>
      </w:r>
      <w:r>
        <w:t>Braden常用6至23且分低风险高；阈值依人群本院版本。风险评分不能替代皮肤检查或分期</w:t>
      </w:r>
    </w:p>
    <w:p>
      <w:bookmarkStart w:id="6" w:name="s6"/>
      <w:pPr>
        <w:pStyle w:val="Heading1"/>
      </w:pPr>
      <w:r>
        <w:t>6 肌少症及营养诊断的版本边界</w:t>
      </w:r>
      <w:bookmarkEnd w:id="6"/>
    </w:p>
    <w:p>
      <w:r>
        <w:t>肌少症必须有客观肌力和肌量证据及对应共识版本。AWGS 2025框架强调低肌量与低肌力并存，体能作为重要结局；不得继续把AWGS 2019算法不加说明标为最新版。当前库未把摘要不能核实的数值阈值固化，使用DXA或BIA及握力前，责任医师须确认该版本、性别、年龄与测量方式对应阈值。缺肌量时可描述肌少症风险或待评估，不能确诊。</w:t>
      </w:r>
    </w:p>
    <w:p>
      <w:r>
        <w:t>营养不良诊断须结合摄入或吸收、体重变化、BMI或肌量、炎症疾病负担等。采用GLIM等框架时须另核所用正式版本和阈值；MNA-SF分类可如实写为筛查分类，不能仅凭白蛋白或一个筛查分直接替代完整临床诊断。</w:t>
      </w:r>
    </w:p>
    <w:p>
      <w:bookmarkStart w:id="7" w:name="s7"/>
      <w:pPr>
        <w:pStyle w:val="Heading1"/>
      </w:pPr>
      <w:r>
        <w:t>7 CGA整合文书模板</w:t>
      </w:r>
      <w:bookmarkEnd w:id="7"/>
    </w:p>
    <w:p>
      <w:pPr>
        <w:keepNext/>
      </w:pPr>
      <w:r>
        <w:t>【文书实际日期及时间】 老年综合评估记录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评估目的及条件：【】</w:t>
      </w:r>
    </w:p>
    <w:p>
      <w:pPr>
        <w:pStyle w:val="Code"/>
      </w:pPr>
      <w:r>
        <w:t>病前基线及当前功能：【ADL、IADL实际项目及协助程度】</w:t>
      </w:r>
    </w:p>
    <w:p>
      <w:pPr>
        <w:pStyle w:val="Code"/>
      </w:pPr>
      <w:r>
        <w:t>认知与意识：【已完成筛查、急性波动及局限】</w:t>
      </w:r>
    </w:p>
    <w:p>
      <w:pPr>
        <w:pStyle w:val="Code"/>
      </w:pPr>
      <w:r>
        <w:t>衰弱与肌肉健康：【工具、实际变量或待评估原因】</w:t>
      </w:r>
    </w:p>
    <w:p>
      <w:pPr>
        <w:pStyle w:val="Code"/>
      </w:pPr>
      <w:r>
        <w:t>营养与吞咽：【摄入、测量、评估及安全进食路径】</w:t>
      </w:r>
    </w:p>
    <w:p>
      <w:pPr>
        <w:pStyle w:val="Code"/>
      </w:pPr>
      <w:r>
        <w:t>情绪、跌倒、皮肤及排泄：【实际资料】</w:t>
      </w:r>
    </w:p>
    <w:p>
      <w:pPr>
        <w:pStyle w:val="Code"/>
      </w:pPr>
      <w:r>
        <w:t>药物、照护资源与患者目标：【核实内容】</w:t>
      </w:r>
    </w:p>
    <w:p>
      <w:pPr>
        <w:pStyle w:val="Code"/>
        <w:keepNext/>
      </w:pPr>
      <w:r>
        <w:t>主要问题及干预：【责任医师确认方案、责任人及复评时点】</w:t>
      </w:r>
    </w:p>
    <w:p>
      <w:pPr>
        <w:pStyle w:val="Code"/>
      </w:pPr>
      <w:r>
        <w:t>```</w:t>
      </w:r>
    </w:p>
    <w:p>
      <w:bookmarkStart w:id="8" w:name="s8"/>
      <w:pPr>
        <w:pStyle w:val="Heading1"/>
      </w:pPr>
      <w:r>
        <w:t>8 医学事实边界与协同规则</w:t>
      </w:r>
      <w:bookmarkEnd w:id="8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9" w:name="s9"/>
      <w:pPr>
        <w:pStyle w:val="Heading1"/>
      </w:pPr>
      <w:r>
        <w:t>9 常见错误与禁止事项</w:t>
      </w:r>
      <w:bookmarkEnd w:id="9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10" w:name="s10"/>
      <w:pPr>
        <w:pStyle w:val="Heading1"/>
      </w:pPr>
      <w:r>
        <w:t>10 典型临床应用示例</w:t>
      </w:r>
      <w:bookmarkEnd w:id="10"/>
    </w:p>
    <w:p>
      <w:r>
        <w:t>以下为明确虚构病例，仅用于展示调用与书写，不代表真实患者资料。SIM04为82岁住院患者，已知近3个月少食、体重下降，但缺BMI和小腿围，未完成MNA-SF。正确写“存在营养风险，需补充测量与完整评估”；不输出分数。仅握力下降而无肌量测定，保留肌少症待评估。</w:t>
      </w:r>
    </w:p>
    <w:p>
      <w:bookmarkStart w:id="11" w:name="s11"/>
      <w:pPr>
        <w:pStyle w:val="Heading1"/>
      </w:pPr>
      <w:r>
        <w:t>11 质量控制清单</w:t>
      </w:r>
      <w:bookmarkEnd w:id="11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工具版本、逐项变量、时间窗和测量条件完整</w:t>
      </w:r>
    </w:p>
    <w:p>
      <w:r>
        <w:t>□ CGA筛查与临床诊断区分，基线与急性功能区分</w:t>
      </w:r>
    </w:p>
    <w:p>
      <w:bookmarkStart w:id="12" w:name="s12"/>
      <w:pPr>
        <w:pStyle w:val="Heading1"/>
      </w:pPr>
      <w:r>
        <w:t>12 版本与证据更新</w:t>
      </w:r>
      <w:bookmarkEnd w:id="12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[R20] Delirium prevention diagnosis and management CG103。机构或作者：NICE；版本：2010 2023更新；适用范围及证据用途：住院及长期照护成人谵妄的识别与非药物管理；核验：2026年10月25日。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[R32] Clinical nutrition and hydration in geriatrics practical guideline。机构或作者：ESPEN；版本：2022；适用范围及证据用途：老年营养及水合的筛查、评估与个体化支持；核验：2026年10月25日。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[R33] AWGS 2025 Consensus Update on muscle health。机构或作者：Asian Working Group for Sarcopenia；版本：2025；适用范围及证据用途：亚洲肌少症；摘要核验肌量与肌力同时降低的更新框架，测量阈值须查正式全文及本院版本；核验：2026年10月25日。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[R34] Clinical Frailty Scale version 2。机构或作者：Dalhousie University；版本：2020；适用范围及证据用途：CFS九级和基线功能临床判断；不按年龄自动赋值；核验：2026年10月25日。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[R35] 4AT user guide。机构或作者：4AT开发团队；版本：网站现行说明；适用范围及证据用途：4AT四项目、不可测试项处理和筛查结果解释；核验：2026年10月25日。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[R36] MoCA FAQ and Training Certification。机构或作者：MoCA Cognition；版本：网站现行说明；适用范围及证据用途：MoCA版本、教育校正及解释限制；授权培训按官方当时用途要求执行；核验：2026年10月25日。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[R37] MNA SF user guide。机构或作者：MNA开发方 Aged Care Quality and Safety Commission链接；版本：现行工具说明；适用范围及证据用途：MNA-SF资料和官方工具入口；不替代营养诊断；核验：2026年10月25日。</w:t>
      </w:r>
      <w:hyperlink r:id="rId1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[R38] Falls assessment and prevention NG249。机构或作者：NICE；版本：2025；适用范围及证据用途：老年及高风险≥50岁人群，综合跌倒评估而非用单一分数预测跌倒；核验：2026年10月25日。</w:t>
      </w:r>
      <w:hyperlink r:id="rId18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[R39] Pressure ulcers prevention and management CG179。机构或作者：NICE；版本：2014；适用范围及证据用途：压力损伤风险及皮肤评估；具体分期用本院采纳版本；核验：2026年10月25日。</w:t>
      </w:r>
      <w:hyperlink r:id="rId19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[R41] Integrated care for older people ICOPE second edition。机构或作者：WHO；版本：2025；适用范围及证据用途：基层老年内在能力和以人为中心照护；住院CGA作补充；核验：2026年10月25日。</w:t>
      </w:r>
      <w:hyperlink r:id="rId20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03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yzygj/c100068/202505/cb8fc8b895b142938027facaeee62e90.shtml" TargetMode="External"/><Relationship Id="rId11" Type="http://schemas.openxmlformats.org/officeDocument/2006/relationships/hyperlink" Target="https://www.nice.org.uk/guidance/cg103/chapter/Recommendations" TargetMode="External"/><Relationship Id="rId12" Type="http://schemas.openxmlformats.org/officeDocument/2006/relationships/hyperlink" Target="https://www.espen.org/files/ESPEN-Guidelines/ESPEN_practical_guideline_Clinical_nutrition_and_hydration_in_geriatrics.pdf" TargetMode="External"/><Relationship Id="rId13" Type="http://schemas.openxmlformats.org/officeDocument/2006/relationships/hyperlink" Target="https://pubmed.ncbi.nlm.nih.gov/41188603/" TargetMode="External"/><Relationship Id="rId14" Type="http://schemas.openxmlformats.org/officeDocument/2006/relationships/hyperlink" Target="https://www.dal.ca/sites/gmr/our-tools/clinical-frailty-scale.html" TargetMode="External"/><Relationship Id="rId15" Type="http://schemas.openxmlformats.org/officeDocument/2006/relationships/hyperlink" Target="https://www.the4at.com/userguide" TargetMode="External"/><Relationship Id="rId16" Type="http://schemas.openxmlformats.org/officeDocument/2006/relationships/hyperlink" Target="https://mocacognition.com/faq" TargetMode="External"/><Relationship Id="rId17" Type="http://schemas.openxmlformats.org/officeDocument/2006/relationships/hyperlink" Target="https://www.agedcarequality.gov.au/quality-standards/guide-completing-mini-nutritional-assessment-short-form" TargetMode="External"/><Relationship Id="rId18" Type="http://schemas.openxmlformats.org/officeDocument/2006/relationships/hyperlink" Target="https://www.nice.org.uk/guidance/ng249/chapter/Recommendations/" TargetMode="External"/><Relationship Id="rId19" Type="http://schemas.openxmlformats.org/officeDocument/2006/relationships/hyperlink" Target="https://www.nice.org.uk/guidance/cg179/chapter/Recommendations" TargetMode="External"/><Relationship Id="rId20" Type="http://schemas.openxmlformats.org/officeDocument/2006/relationships/hyperlink" Target="https://www.who.int/publications/i/item/97892401037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老年内科专科检查与老年综合评估模板库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