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老年内科检验影像及特殊检查结果分析模板库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模式一 原始报告保真整理  |  </w:t>
        </w:r>
      </w:hyperlink>
      <w:hyperlink w:anchor="s4">
        <w:r>
          <w:t>4 模式二 临床结果分析  |  </w:t>
        </w:r>
      </w:hyperlink>
      <w:hyperlink w:anchor="s5">
        <w:r>
          <w:t>5 23类常用检查的临床解释规则  |  </w:t>
        </w:r>
      </w:hyperlink>
      <w:hyperlink w:anchor="s6">
        <w:r>
          <w:t>6 危急值与动态结果闭环  |  </w:t>
        </w:r>
      </w:hyperlink>
      <w:hyperlink w:anchor="s7">
        <w:r>
          <w:t>7 医学事实边界与协同规则  |  </w:t>
        </w:r>
      </w:hyperlink>
      <w:hyperlink w:anchor="s8">
        <w:r>
          <w:t>8 常见错误与禁止事项  |  </w:t>
        </w:r>
      </w:hyperlink>
      <w:hyperlink w:anchor="s9">
        <w:r>
          <w:t>9 典型临床应用示例  |  </w:t>
        </w:r>
      </w:hyperlink>
      <w:hyperlink w:anchor="s10">
        <w:r>
          <w:t>10 质量控制清单  |  </w:t>
        </w:r>
      </w:hyperlink>
      <w:hyperlink w:anchor="s11">
        <w:r>
          <w:t>11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通用功能层。模块职责：原始报告保真和临床解释双模式。</w:t>
      </w:r>
    </w:p>
    <w:p>
      <w:r>
        <w:rPr>
          <w:b/>
        </w:rPr>
        <w:t xml:space="preserve">调用条件  </w:t>
      </w:r>
      <w:r>
        <w:t>用户提交化验、影像、心电、病原等报告，或要求分析结果。</w:t>
      </w:r>
    </w:p>
    <w:p>
      <w:r>
        <w:rPr>
          <w:b/>
        </w:rPr>
        <w:t xml:space="preserve">所需患者资料  </w:t>
      </w:r>
      <w:r>
        <w:t>报告原件或可信转录、患者住院、标本及采样/检查/回报时间、数值单位参考范围、支持条件及相关临床。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1．先核身份与日期，报告无法辨认处保留待核实。</w:t>
      </w:r>
    </w:p>
    <w:p>
      <w:r>
        <w:t>2．选择原始报告整理或临床结果分析模式。</w:t>
      </w:r>
    </w:p>
    <w:p>
      <w:r>
        <w:t>3．把原始字段锁定，临床解释另建字段，不覆盖原文。</w:t>
      </w:r>
    </w:p>
    <w:p>
      <w:r>
        <w:t>4．比较同方法同单位的可比结果并解释变化，避免随意换算。</w:t>
      </w:r>
    </w:p>
    <w:p>
      <w:r>
        <w:t>5．识别危急值，核对通知、处理、复查闭环；经10后输出。</w:t>
      </w:r>
    </w:p>
    <w:p>
      <w:bookmarkStart w:id="3" w:name="s3"/>
      <w:pPr>
        <w:pStyle w:val="Heading1"/>
      </w:pPr>
      <w:r>
        <w:t>3 模式一 原始报告保真整理</w:t>
      </w:r>
      <w:bookmarkEnd w:id="3"/>
    </w:p>
    <w:p>
      <w:r>
        <w:t>按原文保留检查名称、所见、诊断意见、数值、单位、参考范围、阴阳性、侧别和时间。仅允许排版分段，不得纠正疑似笔误或合并为更确定诊断。OCR不清处在来源层标记待核；不能按医学常识猜数值。原始保真副本保留所有时间和原句，作为来源附件或引文，不伪装成已审核医学正文。</w:t>
      </w:r>
    </w:p>
    <w:p>
      <w:r>
        <w:t>转为医学文书摘录时，检查日期及报告标题置于代码框外，框内只放已核对内容；保真副本本身不因输出格式删字。临床摘要或单位换算另列，标明属于加工值，不能把换算值回写为原报告值。</w:t>
      </w:r>
    </w:p>
    <w:p>
      <w:bookmarkStart w:id="4" w:name="s4"/>
      <w:pPr>
        <w:pStyle w:val="Heading1"/>
      </w:pPr>
      <w:r>
        <w:t>4 模式二 临床结果分析</w:t>
      </w:r>
      <w:bookmarkEnd w:id="4"/>
    </w:p>
    <w:p>
      <w:pPr>
        <w:keepNext/>
      </w:pPr>
      <w:r>
        <w:t>【文书实际日期及时间】 检查结果临床分析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检查结果：【数值、单位及参考范围或原报告关键结论】。动态变化：【可比的前后结果及变化】。临床意义：【与症状及器官功能的联系】。可能原因：【支持与反对证据、未明之处】。当前风险：【需优先处理问题】。后续安排：【责任医师确认的复查、进一步评估或治疗计划】。</w:t>
      </w:r>
    </w:p>
    <w:p>
      <w:pPr>
        <w:pStyle w:val="Code"/>
      </w:pPr>
      <w:r>
        <w:t>```</w:t>
      </w:r>
    </w:p>
    <w:p>
      <w:r>
        <w:t>对外知识分析与未确认建议可在代码框外单列；不能把“建议检查”改为“已查”，不能把“考虑药物相关”改为确定不良反应。参考范围由实际实验室提供，不能用通用范围覆盖。</w:t>
      </w:r>
    </w:p>
    <w:p>
      <w:bookmarkStart w:id="5" w:name="s5"/>
      <w:pPr>
        <w:pStyle w:val="Heading1"/>
      </w:pPr>
      <w:r>
        <w:t>5 23类常用检查的临床解释规则</w:t>
      </w:r>
      <w:bookmarkEnd w:id="5"/>
    </w:p>
    <w:p>
      <w:pPr>
        <w:pStyle w:val="Heading2"/>
      </w:pPr>
      <w:r>
        <w:t>血常规</w:t>
      </w:r>
    </w:p>
    <w:p>
      <w:r>
        <w:rPr>
          <w:b/>
        </w:rPr>
        <w:t xml:space="preserve">必需核对  </w:t>
      </w:r>
      <w:r>
        <w:t>Hb、MCV、白细胞分类、血小板及基线</w:t>
      </w:r>
    </w:p>
    <w:p>
      <w:r>
        <w:rPr>
          <w:b/>
        </w:rPr>
        <w:t xml:space="preserve">医学分析与错误防范  </w:t>
      </w:r>
      <w:r>
        <w:t>贫血形态与出血、缺铁、慢性炎症或骨髓问题相鉴别；白细胞正常不能排除老年感染。</w:t>
      </w:r>
    </w:p>
    <w:p>
      <w:r>
        <w:t>模板：血常规示【真实结果】；与【可比既往结果】比较【真实变化】。结合【临床证据】考虑【审慎意义及鉴别】，拟【已确认复评计划】。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肝功能</w:t>
      </w:r>
    </w:p>
    <w:p>
      <w:r>
        <w:rPr>
          <w:b/>
        </w:rPr>
        <w:t xml:space="preserve">必需核对  </w:t>
      </w:r>
      <w:r>
        <w:t>ALT、AST、胆红素、ALP、GGT、白蛋白及凝血</w:t>
      </w:r>
    </w:p>
    <w:p>
      <w:r>
        <w:rPr>
          <w:b/>
        </w:rPr>
        <w:t xml:space="preserve">医学分析与错误防范  </w:t>
      </w:r>
      <w:r>
        <w:t>区分损伤、胆汁淤积和合成功能；药物、充血及炎症可能共同影响。</w:t>
      </w:r>
    </w:p>
    <w:p>
      <w:r>
        <w:t>模板：肝功能示【真实结果】；与【可比既往结果】比较【真实变化】。结合【临床证据】考虑【审慎意义及鉴别】，拟【已确认复评计划】。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肾功能</w:t>
      </w:r>
    </w:p>
    <w:p>
      <w:r>
        <w:rPr>
          <w:b/>
        </w:rPr>
        <w:t xml:space="preserve">必需核对  </w:t>
      </w:r>
      <w:r>
        <w:t>肌酐、尿素、eGFR、尿量、基线与体重</w:t>
      </w:r>
    </w:p>
    <w:p>
      <w:r>
        <w:rPr>
          <w:b/>
        </w:rPr>
        <w:t xml:space="preserve">医学分析与错误防范  </w:t>
      </w:r>
      <w:r>
        <w:t>低肌量可使肌酐偏低；AKI时稳态eGFR不可靠，单次异常不能判定CKD。</w:t>
      </w:r>
    </w:p>
    <w:p>
      <w:r>
        <w:t>模板：肾功能示【真实结果】；与【可比既往结果】比较【真实变化】。结合【临床证据】考虑【审慎意义及鉴别】，拟【已确认复评计划】。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电解质</w:t>
      </w:r>
    </w:p>
    <w:p>
      <w:r>
        <w:rPr>
          <w:b/>
        </w:rPr>
        <w:t xml:space="preserve">必需核对  </w:t>
      </w:r>
      <w:r>
        <w:t>Na、K、Cl、Ca、Mg、P和采样质量</w:t>
      </w:r>
    </w:p>
    <w:p>
      <w:r>
        <w:rPr>
          <w:b/>
        </w:rPr>
        <w:t xml:space="preserve">医学分析与错误防范  </w:t>
      </w:r>
      <w:r>
        <w:t>高钾先看心电和溶血情况，同时处理真实风险；校正钠、钙需明确公式与所有变量，不能覆盖原值。</w:t>
      </w:r>
    </w:p>
    <w:p>
      <w:r>
        <w:t>模板：电解质示【真实结果】；与【可比既往结果】比较【真实变化】。结合【临床证据】考虑【审慎意义及鉴别】，拟【已确认复评计划】。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血糖与HbA1c</w:t>
      </w:r>
    </w:p>
    <w:p>
      <w:r>
        <w:rPr>
          <w:b/>
        </w:rPr>
        <w:t xml:space="preserve">必需核对  </w:t>
      </w:r>
      <w:r>
        <w:t>采样状态、症状、血糖时间序列及贫血输血史</w:t>
      </w:r>
    </w:p>
    <w:p>
      <w:r>
        <w:rPr>
          <w:b/>
        </w:rPr>
        <w:t xml:space="preserve">医学分析与错误防范  </w:t>
      </w:r>
      <w:r>
        <w:t>一次异常结合急性应激和药物解释；HbA1c可受贫血、输血和CKD影响，不自动确诊糖尿病。</w:t>
      </w:r>
    </w:p>
    <w:p>
      <w:r>
        <w:t>模板：血糖与HbA1c示【真实结果】；与【可比既往结果】比较【真实变化】。结合【临床证据】考虑【审慎意义及鉴别】，拟【已确认复评计划】。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血脂</w:t>
      </w:r>
    </w:p>
    <w:p>
      <w:r>
        <w:rPr>
          <w:b/>
        </w:rPr>
        <w:t xml:space="preserve">必需核对  </w:t>
      </w:r>
      <w:r>
        <w:t>TC、LDL-C、HDL-C、TG及既往用药</w:t>
      </w:r>
    </w:p>
    <w:p>
      <w:r>
        <w:rPr>
          <w:b/>
        </w:rPr>
        <w:t xml:space="preserve">医学分析与错误防范  </w:t>
      </w:r>
      <w:r>
        <w:t>以ASCVD背景及治疗目标解释，营养不足与急性感染可影响结果。</w:t>
      </w:r>
    </w:p>
    <w:p>
      <w:r>
        <w:t>模板：血脂示【真实结果】；与【可比既往结果】比较【真实变化】。结合【临床证据】考虑【审慎意义及鉴别】，拟【已确认复评计划】。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凝血功能</w:t>
      </w:r>
    </w:p>
    <w:p>
      <w:r>
        <w:rPr>
          <w:b/>
        </w:rPr>
        <w:t xml:space="preserve">必需核对  </w:t>
      </w:r>
      <w:r>
        <w:t>PT、INR、APTT、纤维蛋白原、血小板及抗栓药</w:t>
      </w:r>
    </w:p>
    <w:p>
      <w:r>
        <w:rPr>
          <w:b/>
        </w:rPr>
        <w:t xml:space="preserve">医学分析与错误防范  </w:t>
      </w:r>
      <w:r>
        <w:t>INR不能用于量化所有DOAC抗凝强度；肝病与DIC需综合判断。</w:t>
      </w:r>
    </w:p>
    <w:p>
      <w:r>
        <w:t>模板：凝血功能示【真实结果】；与【可比既往结果】比较【真实变化】。结合【临床证据】考虑【审慎意义及鉴别】，拟【已确认复评计划】。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心肌损伤标志物</w:t>
      </w:r>
    </w:p>
    <w:p>
      <w:r>
        <w:rPr>
          <w:b/>
        </w:rPr>
        <w:t xml:space="preserve">必需核对  </w:t>
      </w:r>
      <w:r>
        <w:t>肌钙蛋白检测方法、99百分位上限、动态及心电症状</w:t>
      </w:r>
    </w:p>
    <w:p>
      <w:r>
        <w:rPr>
          <w:b/>
        </w:rPr>
        <w:t xml:space="preserve">医学分析与错误防范  </w:t>
      </w:r>
      <w:r>
        <w:t>升高提示心肌损伤；肾病、脓毒症和心衰亦可升高，不能单凭阳性确诊心肌梗死。</w:t>
      </w:r>
    </w:p>
    <w:p>
      <w:r>
        <w:t>模板：心肌损伤标志物示【真实结果】；与【可比既往结果】比较【真实变化】。结合【临床证据】考虑【审慎意义及鉴别】，拟【已确认复评计划】。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BNP与NT-proBNP</w:t>
      </w:r>
    </w:p>
    <w:p>
      <w:r>
        <w:rPr>
          <w:b/>
        </w:rPr>
        <w:t xml:space="preserve">必需核对  </w:t>
      </w:r>
      <w:r>
        <w:t>试剂、数值、肥胖、肾功能、房颤及既往值</w:t>
      </w:r>
    </w:p>
    <w:p>
      <w:r>
        <w:rPr>
          <w:b/>
        </w:rPr>
        <w:t xml:space="preserve">医学分析与错误防范  </w:t>
      </w:r>
      <w:r>
        <w:t>高龄、房颤和肾功能异常可增高，肥胖可降低；不同分子或方法不能直接串成趋势。</w:t>
      </w:r>
    </w:p>
    <w:p>
      <w:r>
        <w:t>模板：BNP与NT-proBNP示【真实结果】；与【可比既往结果】比较【真实变化】。结合【临床证据】考虑【审慎意义及鉴别】，拟【已确认复评计划】。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D-二聚体</w:t>
      </w:r>
    </w:p>
    <w:p>
      <w:r>
        <w:rPr>
          <w:b/>
        </w:rPr>
        <w:t xml:space="preserve">必需核对  </w:t>
      </w:r>
      <w:r>
        <w:t>FEU或DDU、单位、前验概率和检验方法</w:t>
      </w:r>
    </w:p>
    <w:p>
      <w:r>
        <w:rPr>
          <w:b/>
        </w:rPr>
        <w:t xml:space="preserve">医学分析与错误防范  </w:t>
      </w:r>
      <w:r>
        <w:t>不能凭升高确诊PE或DVT；年龄校正仅在验证路径及相应单位方法适用，不自动套公式。</w:t>
      </w:r>
    </w:p>
    <w:p>
      <w:r>
        <w:t>模板：D-二聚体示【真实结果】；与【可比既往结果】比较【真实变化】。结合【临床证据】考虑【审慎意义及鉴别】，拟【已确认复评计划】。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感染指标</w:t>
      </w:r>
    </w:p>
    <w:p>
      <w:r>
        <w:rPr>
          <w:b/>
        </w:rPr>
        <w:t xml:space="preserve">必需核对  </w:t>
      </w:r>
      <w:r>
        <w:t>CRP、PCT、白细胞、体温、病原学及器官功能</w:t>
      </w:r>
    </w:p>
    <w:p>
      <w:r>
        <w:rPr>
          <w:b/>
        </w:rPr>
        <w:t xml:space="preserve">医学分析与错误防范  </w:t>
      </w:r>
      <w:r>
        <w:t>支持动态评价但不能由单一指标判断细菌感染、感染部位或确定停药。</w:t>
      </w:r>
    </w:p>
    <w:p>
      <w:r>
        <w:t>模板：感染指标示【真实结果】；与【可比既往结果】比较【真实变化】。结合【临床证据】考虑【审慎意义及鉴别】，拟【已确认复评计划】。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动脉血气</w:t>
      </w:r>
    </w:p>
    <w:p>
      <w:r>
        <w:rPr>
          <w:b/>
        </w:rPr>
        <w:t xml:space="preserve">必需核对  </w:t>
      </w:r>
      <w:r>
        <w:t>动静脉来源、pH、PaCO2、PaO2、HCO3、乳酸、FiO2及支持条件</w:t>
      </w:r>
    </w:p>
    <w:p>
      <w:r>
        <w:rPr>
          <w:b/>
        </w:rPr>
        <w:t xml:space="preserve">医学分析与错误防范  </w:t>
      </w:r>
      <w:r>
        <w:t>区分氧合、通气及酸碱；静脉PO2不替代PaO2，氧浓度未知不计算精确氧合指数。</w:t>
      </w:r>
    </w:p>
    <w:p>
      <w:r>
        <w:t>模板：动脉血气示【真实结果】；与【可比既往结果】比较【真实变化】。结合【临床证据】考虑【审慎意义及鉴别】，拟【已确认复评计划】。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营养指标</w:t>
      </w:r>
    </w:p>
    <w:p>
      <w:r>
        <w:rPr>
          <w:b/>
        </w:rPr>
        <w:t xml:space="preserve">必需核对  </w:t>
      </w:r>
      <w:r>
        <w:t>体重趋势、摄入、肌量、炎症、白蛋白及微量营养素</w:t>
      </w:r>
    </w:p>
    <w:p>
      <w:r>
        <w:rPr>
          <w:b/>
        </w:rPr>
        <w:t xml:space="preserve">医学分析与错误防范  </w:t>
      </w:r>
      <w:r>
        <w:t>白蛋白受炎症、水合及肝肾影响，不单独确诊营养不良。</w:t>
      </w:r>
    </w:p>
    <w:p>
      <w:r>
        <w:t>模板：营养指标示【真实结果】；与【可比既往结果】比较【真实变化】。结合【临床证据】考虑【审慎意义及鉴别】，拟【已确认复评计划】。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心电图</w:t>
      </w:r>
    </w:p>
    <w:p>
      <w:r>
        <w:rPr>
          <w:b/>
        </w:rPr>
        <w:t xml:space="preserve">必需核对  </w:t>
      </w:r>
      <w:r>
        <w:t>原报告、导联、心率心律、ST-T、间期及前图</w:t>
      </w:r>
    </w:p>
    <w:p>
      <w:r>
        <w:rPr>
          <w:b/>
        </w:rPr>
        <w:t xml:space="preserve">医学分析与错误防范  </w:t>
      </w:r>
      <w:r>
        <w:t>报告整理保留原诊断，临床疑点另述；无原图不能假称已复阅。</w:t>
      </w:r>
    </w:p>
    <w:p>
      <w:r>
        <w:t>模板：心电图示【真实结果】；与【可比既往结果】比较【真实变化】。结合【临床证据】考虑【审慎意义及鉴别】，拟【已确认复评计划】。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动态心电图</w:t>
      </w:r>
    </w:p>
    <w:p>
      <w:r>
        <w:rPr>
          <w:b/>
        </w:rPr>
        <w:t xml:space="preserve">必需核对  </w:t>
      </w:r>
      <w:r>
        <w:t>总记录时长、心律失常负荷、暂停和症状对应</w:t>
      </w:r>
    </w:p>
    <w:p>
      <w:r>
        <w:rPr>
          <w:b/>
        </w:rPr>
        <w:t xml:space="preserve">医学分析与错误防范  </w:t>
      </w:r>
      <w:r>
        <w:t>单个暂停或早搏数量需结合症状、药物及记录质量，不自动建议装置。</w:t>
      </w:r>
    </w:p>
    <w:p>
      <w:r>
        <w:t>模板：动态心电图示【真实结果】；与【可比既往结果】比较【真实变化】。结合【临床证据】考虑【审慎意义及鉴别】，拟【已确认复评计划】。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心脏超声</w:t>
      </w:r>
    </w:p>
    <w:p>
      <w:r>
        <w:rPr>
          <w:b/>
        </w:rPr>
        <w:t xml:space="preserve">必需核对  </w:t>
      </w:r>
      <w:r>
        <w:t>LVEF方法、腔室、瓣膜、舒张及右心参数</w:t>
      </w:r>
    </w:p>
    <w:p>
      <w:r>
        <w:rPr>
          <w:b/>
        </w:rPr>
        <w:t xml:space="preserve">医学分析与错误防范  </w:t>
      </w:r>
      <w:r>
        <w:t>LVEF正常不能排除HFpEF；瓣膜严重程度需相应参数，不能仅据“反流”补分级。</w:t>
      </w:r>
    </w:p>
    <w:p>
      <w:r>
        <w:t>模板：心脏超声示【真实结果】；与【可比既往结果】比较【真实变化】。结合【临床证据】考虑【审慎意义及鉴别】，拟【已确认复评计划】。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胸部X线与CT</w:t>
      </w:r>
    </w:p>
    <w:p>
      <w:r>
        <w:rPr>
          <w:b/>
        </w:rPr>
        <w:t xml:space="preserve">必需核对  </w:t>
      </w:r>
      <w:r>
        <w:t>所见、结论、部位、对比及检查时间</w:t>
      </w:r>
    </w:p>
    <w:p>
      <w:r>
        <w:rPr>
          <w:b/>
        </w:rPr>
        <w:t xml:space="preserve">医学分析与错误防范  </w:t>
      </w:r>
      <w:r>
        <w:t>区分感染、充血、肿瘤、慢性改变；影像炎性改变不等于病原确证。</w:t>
      </w:r>
    </w:p>
    <w:p>
      <w:r>
        <w:t>模板：胸部X线与CT示【真实结果】；与【可比既往结果】比较【真实变化】。结合【临床证据】考虑【审慎意义及鉴别】，拟【已确认复评计划】。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头颅CT与MRI</w:t>
      </w:r>
    </w:p>
    <w:p>
      <w:r>
        <w:rPr>
          <w:b/>
        </w:rPr>
        <w:t xml:space="preserve">必需核对  </w:t>
      </w:r>
      <w:r>
        <w:t>部位侧别、急慢性描述、序列及出血信息</w:t>
      </w:r>
    </w:p>
    <w:p>
      <w:r>
        <w:rPr>
          <w:b/>
        </w:rPr>
        <w:t xml:space="preserve">医学分析与错误防范  </w:t>
      </w:r>
      <w:r>
        <w:t>影像陈旧灶不能直接作为本次急性症状病因；CT早期阴性不能自动排除缺血性卒中。</w:t>
      </w:r>
    </w:p>
    <w:p>
      <w:r>
        <w:t>模板：头颅CT与MRI示【真实结果】；与【可比既往结果】比较【真实变化】。结合【临床证据】考虑【审慎意义及鉴别】，拟【已确认复评计划】。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腹部影像</w:t>
      </w:r>
    </w:p>
    <w:p>
      <w:r>
        <w:rPr>
          <w:b/>
        </w:rPr>
        <w:t xml:space="preserve">必需核对  </w:t>
      </w:r>
      <w:r>
        <w:t>肝胆胰脾、肾与膀胱、腹水和梗阻征象</w:t>
      </w:r>
    </w:p>
    <w:p>
      <w:r>
        <w:rPr>
          <w:b/>
        </w:rPr>
        <w:t xml:space="preserve">医学分析与错误防范  </w:t>
      </w:r>
      <w:r>
        <w:t>偶发囊肿不自动解释腹痛；结合症状、肝胆酶和尿路梗阻证据。</w:t>
      </w:r>
    </w:p>
    <w:p>
      <w:r>
        <w:t>模板：腹部影像示【真实结果】；与【可比既往结果】比较【真实变化】。结合【临床证据】考虑【审慎意义及鉴别】，拟【已确认复评计划】。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血管超声</w:t>
      </w:r>
    </w:p>
    <w:p>
      <w:r>
        <w:rPr>
          <w:b/>
        </w:rPr>
        <w:t xml:space="preserve">必需核对  </w:t>
      </w:r>
      <w:r>
        <w:t>血管、侧别、压缩性、血流及血栓新旧</w:t>
      </w:r>
    </w:p>
    <w:p>
      <w:r>
        <w:rPr>
          <w:b/>
        </w:rPr>
        <w:t xml:space="preserve">医学分析与错误防范  </w:t>
      </w:r>
      <w:r>
        <w:t>不能将斑块等同重度狭窄；静脉血栓需准确定位和阶段。</w:t>
      </w:r>
    </w:p>
    <w:p>
      <w:r>
        <w:t>模板：血管超声示【真实结果】；与【可比既往结果】比较【真实变化】。结合【临床证据】考虑【审慎意义及鉴别】，拟【已确认复评计划】。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骨密度</w:t>
      </w:r>
    </w:p>
    <w:p>
      <w:r>
        <w:rPr>
          <w:b/>
        </w:rPr>
        <w:t xml:space="preserve">必需核对  </w:t>
      </w:r>
      <w:r>
        <w:t>DXA部位、T或Z值、机器、伪影及既往脆性骨折</w:t>
      </w:r>
    </w:p>
    <w:p>
      <w:r>
        <w:rPr>
          <w:b/>
        </w:rPr>
        <w:t xml:space="preserve">医学分析与错误防范  </w:t>
      </w:r>
      <w:r>
        <w:t>退变、压缩和血管钙化可影响腰椎测量；不能凭年龄或腰痛确诊。</w:t>
      </w:r>
    </w:p>
    <w:p>
      <w:r>
        <w:t>模板：骨密度示【真实结果】；与【可比既往结果】比较【真实变化】。结合【临床证据】考虑【审慎意义及鉴别】，拟【已确认复评计划】。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病原学</w:t>
      </w:r>
    </w:p>
    <w:p>
      <w:r>
        <w:rPr>
          <w:b/>
        </w:rPr>
        <w:t xml:space="preserve">必需核对  </w:t>
      </w:r>
      <w:r>
        <w:t>标本部位、质量、采样与用药先后、菌种、药敏</w:t>
      </w:r>
    </w:p>
    <w:p>
      <w:r>
        <w:rPr>
          <w:b/>
        </w:rPr>
        <w:t xml:space="preserve">医学分析与错误防范  </w:t>
      </w:r>
      <w:r>
        <w:t>定植、污染与感染分开；药敏结果不能脱离感染部位及药代直接生成医嘱。</w:t>
      </w:r>
    </w:p>
    <w:p>
      <w:r>
        <w:t>模板：病原学示【真实结果】；与【可比既往结果】比较【真实变化】。结合【临床证据】考虑【审慎意义及鉴别】，拟【已确认复评计划】。</w:t>
      </w:r>
    </w:p>
    <w:p>
      <w:pPr>
        <w:pStyle w:val="Heading2"/>
      </w:pPr>
      <w:r>
        <w:t>其他常用检查</w:t>
      </w:r>
    </w:p>
    <w:p>
      <w:r>
        <w:rPr>
          <w:b/>
        </w:rPr>
        <w:t xml:space="preserve">必需核对  </w:t>
      </w:r>
      <w:r>
        <w:t>肺功能、便潜血、尿常规、甲功、铁代谢等原始项目</w:t>
      </w:r>
    </w:p>
    <w:p>
      <w:r>
        <w:rPr>
          <w:b/>
        </w:rPr>
        <w:t xml:space="preserve">医学分析与错误防范  </w:t>
      </w:r>
      <w:r>
        <w:t>按适应证和检测条件解释；便潜血阳性不自动等于活动性上消化道大出血。</w:t>
      </w:r>
    </w:p>
    <w:p>
      <w:r>
        <w:t>模板：其他常用检查示【真实结果】；与【可比既往结果】比较【真实变化】。结合【临床证据】考虑【审慎意义及鉴别】，拟【已确认复评计划】。</w:t>
      </w:r>
    </w:p>
    <w:p>
      <w:bookmarkStart w:id="6" w:name="s6"/>
      <w:pPr>
        <w:pStyle w:val="Heading1"/>
      </w:pPr>
      <w:r>
        <w:t>6 危急值与动态结果闭环</w:t>
      </w:r>
      <w:bookmarkEnd w:id="6"/>
    </w:p>
    <w:p>
      <w:r>
        <w:t>危急值按本院检验及影像清单触发，不能自创全院阈值。状态链为结果收到、复读确认、通知责任医师、实际处理、复查和交接；分别记录实际人员与时点。无法证实处理时标记待落实，不写“已处理”。纠正报告保留原版及纠正版，核对纠正回报时间后更新当前解释，历史记录不静默替换。</w:t>
      </w:r>
    </w:p>
    <w:p>
      <w:bookmarkStart w:id="7" w:name="s7"/>
      <w:pPr>
        <w:pStyle w:val="Heading1"/>
      </w:pPr>
      <w:r>
        <w:t>7 医学事实边界与协同规则</w:t>
      </w:r>
      <w:bookmarkEnd w:id="7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8" w:name="s8"/>
      <w:pPr>
        <w:pStyle w:val="Heading1"/>
      </w:pPr>
      <w:r>
        <w:t>8 常见错误与禁止事项</w:t>
      </w:r>
      <w:bookmarkEnd w:id="8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9" w:name="s9"/>
      <w:pPr>
        <w:pStyle w:val="Heading1"/>
      </w:pPr>
      <w:r>
        <w:t>9 典型临床应用示例</w:t>
      </w:r>
      <w:bookmarkEnd w:id="9"/>
    </w:p>
    <w:p>
      <w:r>
        <w:t>以下为明确虚构病例，仅用于展示调用与书写，不代表真实患者资料。SIM05肌钙蛋白升高，合并感染及肾功能异常但未提供缺血症状、心电及动态。保留“心肌损伤，病因需鉴别”，不自动诊断NSTEMI。SIM06两份D-二聚体分别使用FEU和DDU，未经核对不计算下降百分比。</w:t>
      </w:r>
    </w:p>
    <w:p>
      <w:bookmarkStart w:id="10" w:name="s10"/>
      <w:pPr>
        <w:pStyle w:val="Heading1"/>
      </w:pPr>
      <w:r>
        <w:t>10 质量控制清单</w:t>
      </w:r>
      <w:bookmarkEnd w:id="10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原报告锁定，临床解释与原始结论分开</w:t>
      </w:r>
    </w:p>
    <w:p>
      <w:r>
        <w:t>□ 采样、回报与文书时点一致，单位方法可比</w:t>
      </w:r>
    </w:p>
    <w:p>
      <w:r>
        <w:t>□ 危急值有真实通知和复评闭环</w:t>
      </w:r>
    </w:p>
    <w:p>
      <w:bookmarkStart w:id="11" w:name="s11"/>
      <w:pPr>
        <w:pStyle w:val="Heading1"/>
      </w:pPr>
      <w:r>
        <w:t>11 版本与证据更新</w:t>
      </w:r>
      <w:bookmarkEnd w:id="11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[R07] 中国心力衰竭诊断和治疗指南2024 上及下。机构或作者：中华医学会心血管病学分会等；版本：2024；适用范围及证据用途：中国成人心衰的诊断证据、表型及综合管理；下篇同站56221页面；核验：2026年10月25日。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[R09] ESC Guidelines for the management of acute coronary syndromes。机构或作者：ESC；版本：2023；适用范围及证据用途：成人ACS辅助循证；须结合中国胸痛中心流程与药品说明书；核验：2026年10月25日。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[R13] GOLD Global Strategy for COPD。机构或作者：GOLD；版本：2026；适用范围及证据用途：COPD诊断、病情评估与管理；国际策略，结合中国适用路径；核验：2026年10月25日。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[R21] 中国老年糖尿病诊疗指南 2024版。机构或作者：指南编写组 中华老年医学杂志等；版本：2024；适用范围及证据用途：中国老年糖尿病分层与个体化治疗；不等同于另一系列2026年指南；核验：2026年10月25日。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18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04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804/42ab2552298047679cd6ec733f233862.shtml" TargetMode="External"/><Relationship Id="rId12" Type="http://schemas.openxmlformats.org/officeDocument/2006/relationships/hyperlink" Target="https://csc.cma.org.cn/art/2024/4/18/art_619_56220.html" TargetMode="External"/><Relationship Id="rId13" Type="http://schemas.openxmlformats.org/officeDocument/2006/relationships/hyperlink" Target="https://www.escardio.org/guidelines/clinical-practice-guidelines/all-esc-practice-guidelines/acute-coronary-syndromes/" TargetMode="External"/><Relationship Id="rId14" Type="http://schemas.openxmlformats.org/officeDocument/2006/relationships/hyperlink" Target="https://goldcopd.org/2026-gold-report-and-pocket-guide/" TargetMode="External"/><Relationship Id="rId15" Type="http://schemas.openxmlformats.org/officeDocument/2006/relationships/hyperlink" Target="https://rs.yiigle.com/CN115399202004/1494603.htm" TargetMode="External"/><Relationship Id="rId16" Type="http://schemas.openxmlformats.org/officeDocument/2006/relationships/hyperlink" Target="https://kdigo.org/guidelines/ckd--evaluation-and-management/" TargetMode="External"/><Relationship Id="rId17" Type="http://schemas.openxmlformats.org/officeDocument/2006/relationships/hyperlink" Target="https://www.idsociety.org/practice-guideline/asymptomatic-bacteriuria" TargetMode="External"/><Relationship Id="rId18" Type="http://schemas.openxmlformats.org/officeDocument/2006/relationships/hyperlink" Target="https://sccm.org/clinical-resources/guidelines/guidelines/surviving-sepsis-campaign-international-guidelines-for-management-of-sepsis-and-septic-shock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老年内科检验影像及特殊检查结果分析模板库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