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老年内科诊疗全流程与围操作期医学文书模板库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16个流程场景及医学文书模板  |  </w:t>
        </w:r>
      </w:hyperlink>
      <w:hyperlink w:anchor="s4">
        <w:r>
          <w:t>4 围操作用药与功能决策接口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通用功能层。模块职责：检查操作、呼吸支持、导管与医疗衔接。</w:t>
      </w:r>
    </w:p>
    <w:p>
      <w:r>
        <w:rPr>
          <w:b/>
        </w:rPr>
        <w:t xml:space="preserve">调用条件  </w:t>
      </w:r>
      <w:r>
        <w:t>重要检查、侵入性操作、管路、输血、呼吸支持、围手术共病及医疗衔接。</w:t>
      </w:r>
    </w:p>
    <w:p>
      <w:r>
        <w:rPr>
          <w:b/>
        </w:rPr>
        <w:t xml:space="preserve">所需患者资料  </w:t>
      </w:r>
      <w:r>
        <w:t>操作或检查目的、实际记录、相关用药、器官功能、CGA、同意和执行、支持装置及复评。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1．确认问题与实际阶段，急性不稳定转06。</w:t>
      </w:r>
    </w:p>
    <w:p>
      <w:r>
        <w:t>2．核对适应证、器官储备、抗栓降糖等药物及知情状态。</w:t>
      </w:r>
    </w:p>
    <w:p>
      <w:r>
        <w:t>3．逐项记录已准备、拟实施、已执行、暂停或取消。</w:t>
      </w:r>
    </w:p>
    <w:p>
      <w:r>
        <w:t>4．操作后按真实结果更新装置、治疗和复评，异常及时升级。</w:t>
      </w:r>
    </w:p>
    <w:p>
      <w:r>
        <w:t>5．衔接时重整药物与待办，交10终审。</w:t>
      </w:r>
    </w:p>
    <w:p>
      <w:bookmarkStart w:id="3" w:name="s3"/>
      <w:pPr>
        <w:pStyle w:val="Heading1"/>
      </w:pPr>
      <w:r>
        <w:t>3 16个流程场景及医学文书模板</w:t>
      </w:r>
      <w:bookmarkEnd w:id="3"/>
    </w:p>
    <w:p>
      <w:pPr>
        <w:pStyle w:val="Heading2"/>
      </w:pPr>
      <w:r>
        <w:t>住院初期综合诊疗评估</w:t>
      </w:r>
    </w:p>
    <w:p>
      <w:r>
        <w:rPr>
          <w:b/>
        </w:rPr>
        <w:t xml:space="preserve">分析与工作规则  </w:t>
      </w:r>
      <w:r>
        <w:t>先区分危急问题、病前功能、共病、药物与照护目标。</w:t>
      </w:r>
    </w:p>
    <w:p>
      <w:pPr>
        <w:keepNext/>
      </w:pPr>
      <w:r>
        <w:t>【文书实际日期及时间】 住院初期综合诊疗评估记录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主要问题【】；近期器官风险【】；已完成评估【】；拟完善【确认项目】，按【责任与复评节点】执行。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不能把完整CGA作为所有急救前置条件。 缺关键参数或实际记录时先核实，不补写正常状态。</w:t>
      </w:r>
    </w:p>
    <w:p>
      <w:pPr>
        <w:pStyle w:val="Heading2"/>
      </w:pPr>
      <w:r>
        <w:t>重要检查前病程</w:t>
      </w:r>
    </w:p>
    <w:p>
      <w:r>
        <w:rPr>
          <w:b/>
        </w:rPr>
        <w:t xml:space="preserve">分析与工作规则  </w:t>
      </w:r>
      <w:r>
        <w:t>核对目的、替代方案、配合能力、禁忌及准备实际完成情况。</w:t>
      </w:r>
    </w:p>
    <w:p>
      <w:pPr>
        <w:keepNext/>
      </w:pPr>
      <w:r>
        <w:t>【文书实际日期及时间】 重要检查前病程记录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拟行【检查】以明确【问题】；已核实【风险及准备】，尚需【未落实项】；按实际检查流程衔接。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申请不等于完成，准备不全不能写已准备妥当。 缺关键参数或实际记录时先核实，不补写正常状态。</w:t>
      </w:r>
    </w:p>
    <w:p>
      <w:pPr>
        <w:pStyle w:val="Heading2"/>
      </w:pPr>
      <w:r>
        <w:t>侵入性操作前评估</w:t>
      </w:r>
    </w:p>
    <w:p>
      <w:r>
        <w:rPr>
          <w:b/>
        </w:rPr>
        <w:t xml:space="preserve">分析与工作规则  </w:t>
      </w:r>
      <w:r>
        <w:t>核对适应证、出血感染风险、解剖、抗栓药、过敏、呼吸循环及同意。</w:t>
      </w:r>
    </w:p>
    <w:p>
      <w:pPr>
        <w:keepNext/>
      </w:pPr>
      <w:r>
        <w:t>【文书实际日期及时间】 侵入性操作前评估记录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拟行【操作】；适应证【】；风险【】；已落实【准备】，未完成【】；操作决定【实际医师结论】。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不能代替操作者判断或以停药建议写已停。 缺关键参数或实际记录时先核实，不补写正常状态。</w:t>
      </w:r>
    </w:p>
    <w:p>
      <w:pPr>
        <w:pStyle w:val="Heading2"/>
      </w:pPr>
      <w:r>
        <w:t>特殊检查治疗知情沟通</w:t>
      </w:r>
    </w:p>
    <w:p>
      <w:r>
        <w:rPr>
          <w:b/>
        </w:rPr>
        <w:t xml:space="preserve">分析与工作规则  </w:t>
      </w:r>
      <w:r>
        <w:t>记录受告知主体、决策能力、沟通内容、选择及实际签署。</w:t>
      </w:r>
    </w:p>
    <w:p>
      <w:pPr>
        <w:keepNext/>
      </w:pPr>
      <w:r>
        <w:t>【文书实际日期及时间】 特殊检查治疗知情沟通记录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已就【目的、获益、主要风险、替代及不实施后果】向【实际受告知人】沟通，其表示【真实意见】，签署情况【】。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未发生沟通仅生成沟通提纲，不能生成已告知正文。 缺关键参数或实际记录时先核实，不补写正常状态。</w:t>
      </w:r>
    </w:p>
    <w:p>
      <w:pPr>
        <w:pStyle w:val="Heading2"/>
      </w:pPr>
      <w:r>
        <w:t>围操作期风险</w:t>
      </w:r>
    </w:p>
    <w:p>
      <w:r>
        <w:rPr>
          <w:b/>
        </w:rPr>
        <w:t xml:space="preserve">分析与工作规则  </w:t>
      </w:r>
      <w:r>
        <w:t>综合CGA、心肺储备、肾功能、出血、谵妄与误吸，量表变量齐全才评分。</w:t>
      </w:r>
    </w:p>
    <w:p>
      <w:pPr>
        <w:keepNext/>
      </w:pPr>
      <w:r>
        <w:t>【文书实际日期及时间】 围操作期风险记录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围操作期主要风险【证据】；拟采取【确认措施】；抗栓及降糖管理【真实计划】，监测【】。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不凭年龄直接判定不能操作或需要全套筛查。 缺关键参数或实际记录时先核实，不补写正常状态。</w:t>
      </w:r>
    </w:p>
    <w:p>
      <w:pPr>
        <w:pStyle w:val="Heading2"/>
      </w:pPr>
      <w:r>
        <w:t>操作后首次病程</w:t>
      </w:r>
    </w:p>
    <w:p>
      <w:r>
        <w:rPr>
          <w:b/>
        </w:rPr>
        <w:t xml:space="preserve">分析与工作规则  </w:t>
      </w:r>
      <w:r>
        <w:t>核对实际操作记录、并发事件、术后状态及观察计划。</w:t>
      </w:r>
    </w:p>
    <w:p>
      <w:pPr>
        <w:keepNext/>
      </w:pPr>
      <w:r>
        <w:t>【文书实际日期及时间】 操作后首次病程记录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患者已完成【实际操作】；过程及异常【真实记录】；现【实际意识、呼吸循环和局部状态】；已予【】；拟【监测复评】。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没有操作记录不能补麻醉方式、成功置管或无并发症。 缺关键参数或实际记录时先核实，不补写正常状态。</w:t>
      </w:r>
    </w:p>
    <w:p>
      <w:pPr>
        <w:pStyle w:val="Heading2"/>
      </w:pPr>
      <w:r>
        <w:t>操作后观察</w:t>
      </w:r>
    </w:p>
    <w:p>
      <w:r>
        <w:rPr>
          <w:b/>
        </w:rPr>
        <w:t xml:space="preserve">分析与工作规则  </w:t>
      </w:r>
      <w:r>
        <w:t>比较操作前后，关注出血、感染、疼痛及功能变化。</w:t>
      </w:r>
    </w:p>
    <w:p>
      <w:pPr>
        <w:keepNext/>
      </w:pPr>
      <w:r>
        <w:t>【文书实际日期及时间】 操作后观察记录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操作后患者【真实症状】；查体【】；【装置或局部】状态【】；目前【评估】，继续【确认监测】。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不能机械写“恢复良好”。 缺关键参数或实际记录时先核实，不补写正常状态。</w:t>
      </w:r>
    </w:p>
    <w:p>
      <w:pPr>
        <w:pStyle w:val="Heading2"/>
      </w:pPr>
      <w:r>
        <w:t>留置导管管理</w:t>
      </w:r>
    </w:p>
    <w:p>
      <w:r>
        <w:rPr>
          <w:b/>
        </w:rPr>
        <w:t xml:space="preserve">分析与工作规则  </w:t>
      </w:r>
      <w:r>
        <w:t>逐根维护类型、部位、置入原因、置入时间、通畅与感染、必要性及拔除计划。</w:t>
      </w:r>
    </w:p>
    <w:p>
      <w:pPr>
        <w:keepNext/>
      </w:pPr>
      <w:r>
        <w:t>【文书实际日期及时间】 留置导管管理记录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【导管】因【实际指征】留置，目前【实际状态】；今日必要性评估【】；拟【继续或拔除计划】。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拟拔管与已拔管分开，拔后监测不能漏。 缺关键参数或实际记录时先核实，不补写正常状态。</w:t>
      </w:r>
    </w:p>
    <w:p>
      <w:pPr>
        <w:pStyle w:val="Heading2"/>
      </w:pPr>
      <w:r>
        <w:t>鼻胃管及肠内营养管</w:t>
      </w:r>
    </w:p>
    <w:p>
      <w:r>
        <w:rPr>
          <w:b/>
        </w:rPr>
        <w:t xml:space="preserve">分析与工作规则  </w:t>
      </w:r>
      <w:r>
        <w:t>核对位置确认、管型、通路、摄入、耐受、误吸及再喂养风险。</w:t>
      </w:r>
    </w:p>
    <w:p>
      <w:pPr>
        <w:keepNext/>
      </w:pPr>
      <w:r>
        <w:t>【文书实际日期及时间】 鼻胃管及肠内营养管记录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经【已确认位置的通路】给予【实际营养方案】；摄入及耐受【】；关注【呛咳、腹胀、电解质等实际风险】，拟【调整】。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插入长度或抽出液外观不能自动证明安全位置；不能凭模板开启喂养。 缺关键参数或实际记录时先核实，不补写正常状态。</w:t>
      </w:r>
    </w:p>
    <w:p>
      <w:pPr>
        <w:pStyle w:val="Heading2"/>
      </w:pPr>
      <w:r>
        <w:t>输血相关文书</w:t>
      </w:r>
    </w:p>
    <w:p>
      <w:r>
        <w:rPr>
          <w:b/>
        </w:rPr>
        <w:t xml:space="preserve">分析与工作规则  </w:t>
      </w:r>
      <w:r>
        <w:t>核对适应证、同意、血型配合、血液成分与量、执行及反应。</w:t>
      </w:r>
    </w:p>
    <w:p>
      <w:pPr>
        <w:keepNext/>
      </w:pPr>
      <w:r>
        <w:t>【文书实际日期及时间】 输血相关文书记录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因【实际指征】拟输注【已确认血液成分与量】；同意及配血【真实情况】；实际输注及反应【据执行记录】；复查【】。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申请、领血、开始与结束不同；不得凭Hb一个值自动写输血已实施。 缺关键参数或实际记录时先核实，不补写正常状态。</w:t>
      </w:r>
    </w:p>
    <w:p>
      <w:pPr>
        <w:pStyle w:val="Heading2"/>
      </w:pPr>
      <w:r>
        <w:t>氧疗及无创通气</w:t>
      </w:r>
    </w:p>
    <w:p>
      <w:r>
        <w:rPr>
          <w:b/>
        </w:rPr>
        <w:t xml:space="preserve">分析与工作规则  </w:t>
      </w:r>
      <w:r>
        <w:t>把装置、流量或参数、FiO2、SpO2及血气、耐受与升级条件成组记录。</w:t>
      </w:r>
    </w:p>
    <w:p>
      <w:pPr>
        <w:keepNext/>
      </w:pPr>
      <w:r>
        <w:t>【文书实际日期及时间】 氧疗及无创通气记录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当前【实际氧装置或NIV模式参数】；SpO2【】、血气【】；呼吸功与意识【】；治疗反应【】，拟【确认调整及升级路径】。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氧流量不能精确替代FiO2；意识保护差等情形须及时评估气道与NIV适用性。 缺关键参数或实际记录时先核实，不补写正常状态。</w:t>
      </w:r>
    </w:p>
    <w:p>
      <w:pPr>
        <w:pStyle w:val="Heading2"/>
      </w:pPr>
      <w:r>
        <w:t>围手术期老年共病评估</w:t>
      </w:r>
    </w:p>
    <w:p>
      <w:r>
        <w:rPr>
          <w:b/>
        </w:rPr>
        <w:t xml:space="preserve">分析与工作规则  </w:t>
      </w:r>
      <w:r>
        <w:t>围绕实际手术需求评估心肺肾、功能、营养、药物、谵妄和术后照护。</w:t>
      </w:r>
    </w:p>
    <w:p>
      <w:pPr>
        <w:keepNext/>
      </w:pPr>
      <w:r>
        <w:t>【文书实际日期及时间】 围手术期老年共病评估记录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因拟行【真实手术】评估共病【】；主要可干预风险【】；拟【与手术麻醉团队确认措施】，术后重点【】。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不套骨科负重、固定或手术默认规则。 缺关键参数或实际记录时先核实，不补写正常状态。</w:t>
      </w:r>
    </w:p>
    <w:p>
      <w:pPr>
        <w:pStyle w:val="Heading2"/>
      </w:pPr>
      <w:r>
        <w:t>术前CGA与会诊</w:t>
      </w:r>
    </w:p>
    <w:p>
      <w:r>
        <w:rPr>
          <w:b/>
        </w:rPr>
        <w:t xml:space="preserve">分析与工作规则  </w:t>
      </w:r>
      <w:r>
        <w:t>给出功能基线、认知、衰弱、患者目标、风险可逆因素及团队建议。</w:t>
      </w:r>
    </w:p>
    <w:p>
      <w:pPr>
        <w:keepNext/>
      </w:pPr>
      <w:r>
        <w:t>【文书实际日期及时间】 术前CGA与会诊记录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术前功能及CGA【实际资料】；可干预问题【】；会诊实际意见【】；尚待明确【】，最终决定由相关团队与患者共同确认。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CGA未完成不能编造评分或代替麻醉评估。 缺关键参数或实际记录时先核实，不补写正常状态。</w:t>
      </w:r>
    </w:p>
    <w:p>
      <w:pPr>
        <w:pStyle w:val="Heading2"/>
      </w:pPr>
      <w:r>
        <w:t>多学科联合诊疗</w:t>
      </w:r>
    </w:p>
    <w:p>
      <w:r>
        <w:rPr>
          <w:b/>
        </w:rPr>
        <w:t xml:space="preserve">分析与工作规则  </w:t>
      </w:r>
      <w:r>
        <w:t>明确问题、真实参与科室和人员、不同意见、共同决定及分工。</w:t>
      </w:r>
    </w:p>
    <w:p>
      <w:pPr>
        <w:keepNext/>
      </w:pPr>
      <w:r>
        <w:t>【文书实际日期及时间】 多学科联合诊疗记录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MDT围绕【问题】讨论，各团队实际意见【】；共同确认【决策及理由】；由【实际责任人】落实【任务】，复评【】。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未召开时写MDT申请或准备材料，不虚构共识。 缺关键参数或实际记录时先核实，不补写正常状态。</w:t>
      </w:r>
    </w:p>
    <w:p>
      <w:pPr>
        <w:pStyle w:val="Heading2"/>
      </w:pPr>
      <w:r>
        <w:t>稳定后治疗过渡</w:t>
      </w:r>
    </w:p>
    <w:p>
      <w:r>
        <w:rPr>
          <w:b/>
        </w:rPr>
        <w:t xml:space="preserve">分析与工作规则  </w:t>
      </w:r>
      <w:r>
        <w:t>核对静脉至口服、支持降阶、药物简化及功能恢复条件。</w:t>
      </w:r>
    </w:p>
    <w:p>
      <w:pPr>
        <w:keepNext/>
      </w:pPr>
      <w:r>
        <w:t>【文书实际日期及时间】 稳定后治疗过渡记录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患者目前【稳定证据】；已实施【过渡措施】；尚未落实【计划】；继续监测【反跳或不耐受】并安排【衔接】。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病情稳定不能自动等于可停氧、停抗菌药或进普通饮食。 缺关键参数或实际记录时先核实，不补写正常状态。</w:t>
      </w:r>
    </w:p>
    <w:p>
      <w:pPr>
        <w:pStyle w:val="Heading2"/>
      </w:pPr>
      <w:r>
        <w:t>转入转出与医疗衔接</w:t>
      </w:r>
    </w:p>
    <w:p>
      <w:r>
        <w:rPr>
          <w:b/>
        </w:rPr>
        <w:t xml:space="preserve">分析与工作规则  </w:t>
      </w:r>
      <w:r>
        <w:t>采用病情、风险、行动、待办、责任的交接结构。</w:t>
      </w:r>
    </w:p>
    <w:p>
      <w:pPr>
        <w:keepNext/>
      </w:pPr>
      <w:r>
        <w:t>【文书实际日期及时间】 转入转出与医疗衔接记录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因【原因】拟或已【真实转科状态】；当前支持【】、药物【】、装置【】；待回报及重点【】；承接责任与实际交接【】。</w:t>
      </w:r>
    </w:p>
    <w:p>
      <w:pPr>
        <w:pStyle w:val="Code"/>
      </w:pPr>
      <w:r>
        <w:t>```</w:t>
      </w:r>
    </w:p>
    <w:p>
      <w:r>
        <w:rPr>
          <w:b/>
        </w:rPr>
        <w:t xml:space="preserve">缺失处理与质控  </w:t>
      </w:r>
      <w:r>
        <w:t>不能把拟接收写成已完成接收。 缺关键参数或实际记录时先核实，不补写正常状态。</w:t>
      </w:r>
    </w:p>
    <w:p>
      <w:bookmarkStart w:id="4" w:name="s4"/>
      <w:pPr>
        <w:pStyle w:val="Heading1"/>
      </w:pPr>
      <w:r>
        <w:t>4 围操作用药与功能决策接口</w:t>
      </w:r>
      <w:bookmarkEnd w:id="4"/>
    </w:p>
    <w:p>
      <w:r>
        <w:t>抗凝抗血小板暂停、恢复及桥接须结合药物、适应证、最近用药、肾功能、操作出血风险和血栓风险，由责任团队确认；本库不预设停药天数。SGLT2抑制剂、胰岛素、镇静和肾毒性药物需根据实际操作、禁食与器官功能核对相应现行说明和院内流程。术后活动按实际操作及内科稳定性制定，不自动写统一卧床或负重限制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SIM07拟行内镜，正在抗凝且肾功能异常。系统生成风险及沟通准备提纲，触发07和105；在未取得团队决定前不写“已停抗凝三日、患者已签字”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同意、操作、输血及管路均有真实证据</w:t>
      </w:r>
    </w:p>
    <w:p>
      <w:r>
        <w:t>□ 治疗降阶、装置拔除与转科状态相符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[R08] 心房颤动诊断和治疗中国指南。机构或作者：中华医学会心血管病学分会 中国生物医学工程学会心律分会；版本：2023；适用范围及证据用途：中国房颤诊断、血栓及出血风险；不同风险模型不可混算；核验：2026年10月25日。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[R24] ACG Clinical Guideline Upper Gastrointestinal and Ulcer Bleeding。机构或作者：ACG；版本：2021；适用范围及证据用途：成人非静脉曲张上消化道出血复苏、内镜及风险评估；核验：2026年10月25日。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16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05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804/42ab2552298047679cd6ec733f233862.shtml" TargetMode="External"/><Relationship Id="rId12" Type="http://schemas.openxmlformats.org/officeDocument/2006/relationships/hyperlink" Target="https://www.nhc.gov.cn/yzygj/c100068/202505/cb8fc8b895b142938027facaeee62e90.shtml" TargetMode="External"/><Relationship Id="rId13" Type="http://schemas.openxmlformats.org/officeDocument/2006/relationships/hyperlink" Target="https://csc.cma.org.cn/art/2023/6/21/art_619_51441.html" TargetMode="External"/><Relationship Id="rId14" Type="http://schemas.openxmlformats.org/officeDocument/2006/relationships/hyperlink" Target="https://kdigo.org/guidelines/ckd--evaluation-and-management/" TargetMode="External"/><Relationship Id="rId15" Type="http://schemas.openxmlformats.org/officeDocument/2006/relationships/hyperlink" Target="https://doi.org/10.14309/AJG.0000000000001245" TargetMode="External"/><Relationship Id="rId16" Type="http://schemas.openxmlformats.org/officeDocument/2006/relationships/hyperlink" Target="https://www.espen.org/files/ESPEN-Guidelines/ESPEN_practical_guideline_Clinical_nutrition_and_hydration_in_geriatric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老年内科诊疗全流程与围操作期医学文书模板库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