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老年多病共存治疗决策与多重用药管理规则库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22项治疗决策与用药规则  |  </w:t>
        </w:r>
      </w:hyperlink>
      <w:hyperlink w:anchor="s4">
        <w:r>
          <w:t>4 三类筛查标准的版本及适用差异  |  </w:t>
        </w:r>
      </w:hyperlink>
      <w:hyperlink w:anchor="s5">
        <w:r>
          <w:t>5 药物重整与风险审查记录模板  |  </w:t>
        </w:r>
      </w:hyperlink>
      <w:hyperlink w:anchor="s6">
        <w:r>
          <w:t>6 严重矛盾与终稿阻断  |  </w:t>
        </w:r>
      </w:hyperlink>
      <w:hyperlink w:anchor="s7">
        <w:r>
          <w:t>7 医学事实边界与协同规则  |  </w:t>
        </w:r>
      </w:hyperlink>
      <w:hyperlink w:anchor="s8">
        <w:r>
          <w:t>8 常见错误与禁止事项  |  </w:t>
        </w:r>
      </w:hyperlink>
      <w:hyperlink w:anchor="s9">
        <w:r>
          <w:t>9 典型临床应用示例  |  </w:t>
        </w:r>
      </w:hyperlink>
      <w:hyperlink w:anchor="s10">
        <w:r>
          <w:t>10 质量控制清单  |  </w:t>
        </w:r>
      </w:hyperlink>
      <w:hyperlink w:anchor="s11">
        <w:r>
          <w:t>11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所属层级：第二级 通用功能层。模块职责：共病取舍、药物重整、减药与监测。</w:t>
      </w:r>
    </w:p>
    <w:p>
      <w:r>
        <w:rPr>
          <w:b/>
        </w:rPr>
        <w:t xml:space="preserve">调用条件  </w:t>
      </w:r>
      <w:r>
        <w:t>两个及以上疾病相互影响，或药物审核、重整、调整、减药及出院药单核对。</w:t>
      </w:r>
    </w:p>
    <w:p>
      <w:r>
        <w:rPr>
          <w:b/>
        </w:rPr>
        <w:t xml:space="preserve">所需患者资料  </w:t>
      </w:r>
      <w:r>
        <w:t>完整实际药单、适应证、剂量途径频次、开始停用时间、处方与执行、过敏、体重、肝肾、监测、功能与目标。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1．优先排真实用药引起的生命威胁，必要时转06。</w:t>
      </w:r>
    </w:p>
    <w:p>
      <w:r>
        <w:t>2．建立最佳可能药物史并对照当前医嘱和执行。</w:t>
      </w:r>
    </w:p>
    <w:p>
      <w:r>
        <w:t>3．逐药查适应证、获益、剂量、器官功能、相互作用及重复。</w:t>
      </w:r>
    </w:p>
    <w:p>
      <w:r>
        <w:t>4．使用版本明确的PIM和治疗遗漏工具，核对条目条件与例外。</w:t>
      </w:r>
    </w:p>
    <w:p>
      <w:r>
        <w:t>5．提出独立建议；医师确认后才形成调整计划，执行后再更新状态。</w:t>
      </w:r>
    </w:p>
    <w:p>
      <w:r>
        <w:t>6．设置监测和转衔药单，10审查严重矛盾。</w:t>
      </w:r>
    </w:p>
    <w:p>
      <w:bookmarkStart w:id="3" w:name="s3"/>
      <w:pPr>
        <w:pStyle w:val="Heading1"/>
      </w:pPr>
      <w:r>
        <w:t>3 22项治疗决策与用药规则</w:t>
      </w:r>
      <w:bookmarkEnd w:id="3"/>
    </w:p>
    <w:p>
      <w:pPr>
        <w:pStyle w:val="Heading2"/>
      </w:pPr>
      <w:r>
        <w:t>多病共存分析</w:t>
      </w:r>
    </w:p>
    <w:p>
      <w:r>
        <w:t>逐问题标记急慢性、可逆性、当前危害、治疗负担与患者目标；避免把单病指南简单叠加。</w:t>
      </w:r>
    </w:p>
    <w:p>
      <w:pPr>
        <w:pStyle w:val="Heading2"/>
      </w:pPr>
      <w:r>
        <w:t>主要疾病与合并疾病优先级</w:t>
      </w:r>
    </w:p>
    <w:p>
      <w:r>
        <w:t>优先生命威胁、可逆器官损害、痛苦及功能丢失；主诊断依本次住院及责任医师判断，不按疾病严重名称自动排序。</w:t>
      </w:r>
    </w:p>
    <w:p>
      <w:pPr>
        <w:pStyle w:val="Heading2"/>
      </w:pPr>
      <w:r>
        <w:t>急性与慢性问题</w:t>
      </w:r>
    </w:p>
    <w:p>
      <w:r>
        <w:t>急性变化与稳定共病分开，急性应激可能改变药物耐受和长期获益。</w:t>
      </w:r>
    </w:p>
    <w:p>
      <w:pPr>
        <w:pStyle w:val="Heading2"/>
      </w:pPr>
      <w:r>
        <w:t>获益风险评估</w:t>
      </w:r>
    </w:p>
    <w:p>
      <w:r>
        <w:t>比较近期症状、住院死亡及功能收益与出血、低糖、跌倒、肾损伤及负担；记录患者偏好与可替代方案。</w:t>
      </w:r>
    </w:p>
    <w:p>
      <w:pPr>
        <w:pStyle w:val="Heading2"/>
      </w:pPr>
      <w:r>
        <w:t>老年药代与药效</w:t>
      </w:r>
    </w:p>
    <w:p>
      <w:r>
        <w:t>低体重、低肌量、体液变化、蛋白结合和清除改变需结合具体药物，不把年龄直接转换为统一减量比例。</w:t>
      </w:r>
    </w:p>
    <w:p>
      <w:pPr>
        <w:pStyle w:val="Heading2"/>
      </w:pPr>
      <w:r>
        <w:t>肝肾功能</w:t>
      </w:r>
    </w:p>
    <w:p>
      <w:r>
        <w:t>用药依据说明书采用CrCl或eGFR；Cockcroft-Gault须年龄、体重、肌酐、性别及单位完整，体重选取及AKI稳态限制须说明。体表面积归一化eGFR不能随意当绝对清除率。</w:t>
      </w:r>
    </w:p>
    <w:p>
      <w:pPr>
        <w:pStyle w:val="Heading2"/>
      </w:pPr>
      <w:r>
        <w:t>相互作用</w:t>
      </w:r>
    </w:p>
    <w:p>
      <w:r>
        <w:t>同时检查药代、药效、药病、食物及中药；核对实际重叠时段。严重相互作用需确认实际暴露与处理，不能仅列理论风险。</w:t>
      </w:r>
    </w:p>
    <w:p>
      <w:pPr>
        <w:pStyle w:val="Heading2"/>
      </w:pPr>
      <w:r>
        <w:t>重复用药</w:t>
      </w:r>
    </w:p>
    <w:p>
      <w:r>
        <w:t>按有效成分和治疗目的核对同成分商品名、复方、同类和跨科处方；合理联用不能仅凭药类相同判为错误。</w:t>
      </w:r>
    </w:p>
    <w:p>
      <w:pPr>
        <w:pStyle w:val="Heading2"/>
      </w:pPr>
      <w:r>
        <w:t>潜在不适当用药</w:t>
      </w:r>
    </w:p>
    <w:p>
      <w:r>
        <w:t>记录标准名称版本、命中条目、实际适用条件与例外；PIM是审查线索，不等于禁忌或必须停药。</w:t>
      </w:r>
    </w:p>
    <w:p>
      <w:pPr>
        <w:pStyle w:val="Heading2"/>
      </w:pPr>
      <w:r>
        <w:t>药物重整</w:t>
      </w:r>
    </w:p>
    <w:p>
      <w:r>
        <w:t>采集入院前实际用药，对照入院、转科和出院医嘱；每项差异说明继续、调整、暂停、停用或待核。</w:t>
      </w:r>
    </w:p>
    <w:p>
      <w:pPr>
        <w:pStyle w:val="Heading2"/>
      </w:pPr>
      <w:r>
        <w:t>长期处方</w:t>
      </w:r>
    </w:p>
    <w:p>
      <w:r>
        <w:t>核对适应证持续性、有效期、真实服用、复查和续方责任；不能因旧病历曾写就一直标为在用。</w:t>
      </w:r>
    </w:p>
    <w:p>
      <w:pPr>
        <w:pStyle w:val="Heading2"/>
      </w:pPr>
      <w:r>
        <w:t>抗凝与抗血小板</w:t>
      </w:r>
    </w:p>
    <w:p>
      <w:r>
        <w:t>核适应证、瓣膜、卒中、最近PCI与出血、Hb血小板、肝肾和相互作用；机械瓣和特定瓣膜病情境须专科确认，不能自动套DOAC。高出血风险评分不单独作为拒绝抗凝理由。</w:t>
      </w:r>
    </w:p>
    <w:p>
      <w:pPr>
        <w:pStyle w:val="Heading2"/>
      </w:pPr>
      <w:r>
        <w:t>降压风险</w:t>
      </w:r>
    </w:p>
    <w:p>
      <w:r>
        <w:t>结合卧立位血压、症状、容量、跌倒和器官灌注；一次低读数先核测量和病因，不自动停全部降压药。</w:t>
      </w:r>
    </w:p>
    <w:p>
      <w:pPr>
        <w:pStyle w:val="Heading2"/>
      </w:pPr>
      <w:r>
        <w:t>降糖与低血糖</w:t>
      </w:r>
    </w:p>
    <w:p>
      <w:r>
        <w:t>肾功能、摄入、认知、注射及照护能力共同决定目标；反复低糖时审查胰岛素、磺脲等暴露和简化可能。</w:t>
      </w:r>
    </w:p>
    <w:p>
      <w:pPr>
        <w:pStyle w:val="Heading2"/>
      </w:pPr>
      <w:r>
        <w:t>镇静催眠</w:t>
      </w:r>
    </w:p>
    <w:p>
      <w:r>
        <w:t>识别苯二氮䓬类及Z类、阿片等叠加；评估跌倒、谵妄、呼吸抑制与戒断风险，长期使用不能简单骤停。</w:t>
      </w:r>
    </w:p>
    <w:p>
      <w:pPr>
        <w:pStyle w:val="Heading2"/>
      </w:pPr>
      <w:r>
        <w:t>抗胆碱负担</w:t>
      </w:r>
    </w:p>
    <w:p>
      <w:r>
        <w:t>检查膀胱药、抗组胺、抗抑郁和复方制剂等，联系便秘、尿潴留、视物及认知；使用评分须明确工具逐药条目。</w:t>
      </w:r>
    </w:p>
    <w:p>
      <w:pPr>
        <w:pStyle w:val="Heading2"/>
      </w:pPr>
      <w:r>
        <w:t>镇痛风险</w:t>
      </w:r>
    </w:p>
    <w:p>
      <w:r>
        <w:t>NSAIDs与AKI、出血、血压及心衰风险；阿片与呼吸抑制、便秘和谵妄；同时控制疼痛，不能把避免风险变成不治疗。</w:t>
      </w:r>
    </w:p>
    <w:p>
      <w:pPr>
        <w:pStyle w:val="Heading2"/>
      </w:pPr>
      <w:r>
        <w:t>药物与跌倒谵妄</w:t>
      </w:r>
    </w:p>
    <w:p>
      <w:r>
        <w:t>以开始、增量、停药、症状发生及去激发反应形成时序；存在关联不自动确诊药害。</w:t>
      </w:r>
    </w:p>
    <w:p>
      <w:pPr>
        <w:pStyle w:val="Heading2"/>
      </w:pPr>
      <w:r>
        <w:t>营养与给药</w:t>
      </w:r>
    </w:p>
    <w:p>
      <w:r>
        <w:t>低摄入、脱水、蛋白结合、管饲和吞咽影响药物；肠溶缓释等能否碾碎按具体制剂核验，不自动碾碎全部药。</w:t>
      </w:r>
    </w:p>
    <w:p>
      <w:pPr>
        <w:pStyle w:val="Heading2"/>
      </w:pPr>
      <w:r>
        <w:t>目标个体化</w:t>
      </w:r>
    </w:p>
    <w:p>
      <w:r>
        <w:t>记录患者优先目标、预期获益时间、功能和治疗负担；不凭年龄决定放弃合理治疗。</w:t>
      </w:r>
    </w:p>
    <w:p>
      <w:pPr>
        <w:pStyle w:val="Heading2"/>
      </w:pPr>
      <w:r>
        <w:t>调整后监测</w:t>
      </w:r>
    </w:p>
    <w:p>
      <w:r>
        <w:t>每次调整写药物、原因、生效状态、复评项目、责任人与升级条件；观察疗效和不良反应。</w:t>
      </w:r>
    </w:p>
    <w:p>
      <w:pPr>
        <w:pStyle w:val="Heading2"/>
      </w:pPr>
      <w:r>
        <w:t>停药与减药</w:t>
      </w:r>
    </w:p>
    <w:p>
      <w:r>
        <w:t>先确认适应证、获益风险、可替代方案及戒断或反跳风险；记录分步方案与实际执行，停药后保留历史暴露。</w:t>
      </w:r>
    </w:p>
    <w:p>
      <w:bookmarkStart w:id="4" w:name="s4"/>
      <w:pPr>
        <w:pStyle w:val="Heading1"/>
      </w:pPr>
      <w:r>
        <w:t>4 三类筛查标准的版本及适用差异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061"/>
        <w:gridCol w:w="4309"/>
      </w:tblGrid>
      <w:tr>
        <w:trPr>
          <w:tblHeader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工具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核验版本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使用方式</w:t>
            </w:r>
          </w:p>
        </w:tc>
      </w:tr>
      <w:tr>
        <w:trPr/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中国PIM标准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2024年版；2026年原刊解读与补充表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以中国药物可及性和实际条件筛查，不能误称2026版标准</w:t>
            </w:r>
          </w:p>
        </w:tc>
      </w:tr>
      <w:tr>
        <w:trPr/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AGS Beers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美国通常≥65岁人群，考虑适应证例外和本土说明书，临终情境单独评估</w:t>
            </w:r>
          </w:p>
        </w:tc>
      </w:tr>
      <w:tr>
        <w:trPr/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STOPP START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第3版 2023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既查不适当处方也查治疗遗漏，不能将START命中直接当新增医嘱</w:t>
            </w:r>
          </w:p>
        </w:tc>
      </w:tr>
    </w:tbl>
    <w:p/>
    <w:p>
      <w:r>
        <w:t>本库不复制完整受版权保护的条目清单，使用具体条目时核对原文及本院药学系统。所有筛查结论写为“命中某版本某条件，需结合实际评估”；未经核验的肾功能阈值、剂量和处方不固化。</w:t>
      </w:r>
    </w:p>
    <w:p>
      <w:bookmarkStart w:id="5" w:name="s5"/>
      <w:pPr>
        <w:pStyle w:val="Heading1"/>
      </w:pPr>
      <w:r>
        <w:t>5 药物重整与风险审查记录模板</w:t>
      </w:r>
      <w:bookmarkEnd w:id="5"/>
    </w:p>
    <w:p>
      <w:pPr>
        <w:keepNext/>
      </w:pPr>
      <w:r>
        <w:t>【文书实际日期及时间】 药物重整记录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资料来源及核对范围：【实际药史及当前医嘱】</w:t>
      </w:r>
    </w:p>
    <w:p>
      <w:pPr>
        <w:pStyle w:val="Code"/>
      </w:pPr>
      <w:r>
        <w:t>差异清单：【逐药列原方案、当前方案、差异及原因】</w:t>
      </w:r>
    </w:p>
    <w:p>
      <w:pPr>
        <w:pStyle w:val="Code"/>
      </w:pPr>
      <w:r>
        <w:t>安全问题：【适应证、剂量、肝肾、重复、相互作用、PIM及遗漏】</w:t>
      </w:r>
    </w:p>
    <w:p>
      <w:pPr>
        <w:pStyle w:val="Code"/>
      </w:pPr>
      <w:r>
        <w:t>确认决定：【责任医师实际确认的继续、调整、暂停或停用】</w:t>
      </w:r>
    </w:p>
    <w:p>
      <w:pPr>
        <w:pStyle w:val="Code"/>
        <w:keepNext/>
      </w:pPr>
      <w:r>
        <w:t>执行与监测：【已执行凭证、待执行项、复评项目及责任】</w:t>
      </w:r>
    </w:p>
    <w:p>
      <w:pPr>
        <w:pStyle w:val="Code"/>
      </w:pPr>
      <w:r>
        <w:t>```</w:t>
      </w:r>
    </w:p>
    <w:p>
      <w:pPr>
        <w:keepNext/>
      </w:pPr>
      <w:r>
        <w:t>【文书实际日期及时间】 治疗调整病程记录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目前【症状、功能和监测】。核对现用【真实药物】后发现【具体风险及证据】，综合【主要疾病获益与合并疾病风险】，经【实际责任医师决定】拟【明确调整计划】；当前执行状态为【已开立、已执行或待实施】，重点复评【具体疗效和安全指标】。</w:t>
      </w:r>
    </w:p>
    <w:p>
      <w:pPr>
        <w:pStyle w:val="Code"/>
      </w:pPr>
      <w:r>
        <w:t>```</w:t>
      </w:r>
    </w:p>
    <w:p>
      <w:bookmarkStart w:id="6" w:name="s6"/>
      <w:pPr>
        <w:pStyle w:val="Heading1"/>
      </w:pPr>
      <w:r>
        <w:t>6 严重矛盾与终稿阻断</w:t>
      </w:r>
      <w:bookmarkEnd w:id="6"/>
    </w:p>
    <w:p>
      <w:r>
        <w:t>例如实际药单一处记“已停”，另一执行记录显示继续给药；抗凝剂量与肾功能依据冲突；同一成分不同商品名疑重复且不能核实。先锁定患者、药名、剂型、时间和来源，在框外提出核实，不输出含相互冲突药单的无标记正式病历。可核实的理论风险与确定处方错误分开，不能擅自替医师停药。</w:t>
      </w:r>
    </w:p>
    <w:p>
      <w:bookmarkStart w:id="7" w:name="s7"/>
      <w:pPr>
        <w:pStyle w:val="Heading1"/>
      </w:pPr>
      <w:r>
        <w:t>7 医学事实边界与协同规则</w:t>
      </w:r>
      <w:bookmarkEnd w:id="7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8" w:name="s8"/>
      <w:pPr>
        <w:pStyle w:val="Heading1"/>
      </w:pPr>
      <w:r>
        <w:t>8 常见错误与禁止事项</w:t>
      </w:r>
      <w:bookmarkEnd w:id="8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9" w:name="s9"/>
      <w:pPr>
        <w:pStyle w:val="Heading1"/>
      </w:pPr>
      <w:r>
        <w:t>9 典型临床应用示例</w:t>
      </w:r>
      <w:bookmarkEnd w:id="9"/>
    </w:p>
    <w:p>
      <w:r>
        <w:t>以下为明确虚构病例，仅用于展示调用与书写，不代表真实患者资料。SIM10为81岁糖尿病合并肾功能异常且摄入下降者，药单含胰岛素和镇静药，但剂量及执行不完整。系统列出低糖、跌倒和肾功能剂量核对项，不输出具体减量比例，不写“已停药”。取得医师确认及执行后才进入调整病程。</w:t>
      </w:r>
    </w:p>
    <w:p>
      <w:bookmarkStart w:id="10" w:name="s10"/>
      <w:pPr>
        <w:pStyle w:val="Heading1"/>
      </w:pPr>
      <w:r>
        <w:t>10 质量控制清单</w:t>
      </w:r>
      <w:bookmarkEnd w:id="10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r>
        <w:t>□ 药单含非处方药、中药及真实服用差异</w:t>
      </w:r>
    </w:p>
    <w:p>
      <w:r>
        <w:t>□ PIM工具版本、适用条件及例外明确</w:t>
      </w:r>
    </w:p>
    <w:p>
      <w:r>
        <w:t>□ 肾功能指标与具体说明书要求一致</w:t>
      </w:r>
    </w:p>
    <w:p>
      <w:bookmarkStart w:id="11" w:name="s11"/>
      <w:pPr>
        <w:pStyle w:val="Heading1"/>
      </w:pPr>
      <w:r>
        <w:t>11 版本与证据更新</w:t>
      </w:r>
      <w:bookmarkEnd w:id="11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[R08] 心房颤动诊断和治疗中国指南。机构或作者：中华医学会心血管病学分会 中国生物医学工程学会心律分会；版本：2023；适用范围及证据用途：中国房颤诊断、血栓及出血风险；不同风险模型不可混算；核验：2026年10月25日。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[R21] 中国老年糖尿病诊疗指南 2024版。机构或作者：指南编写组 中华老年医学杂志等；版本：2024；适用范围及证据用途：中国老年糖尿病分层与个体化治疗；不等同于另一系列2026年指南；核验：2026年10月25日。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[R22] Standards of Care in Diabetes Older Adults。机构或作者：ADA；版本：2026；适用范围及证据用途：老年糖尿病功能和认知分层；仅国际补充，不替代中国指南；核验：2026年10月25日。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[R23] KDIGO Clinical Practice Guideline for CKD。机构或作者：KDIGO；版本：2024；适用范围及证据用途：CKD慢性证据、CGA分类及用药评估；2027药物管理公开征求意见稿不作为正式指南；核验：2026年10月25日。</w:t>
      </w:r>
      <w:hyperlink r:id="rId1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[R29] 中国老年人潜在不适当用药判断标准 2024年版 解读及补充材料。机构或作者：邢晓璇等 药物不良反应杂志；版本：2024标准 2026发表解读；适用范围及证据用途：中国老年PIM筛查；核验解读与原刊补充表，不能称2026版标准；核验：2026年10月25日。</w:t>
      </w:r>
      <w:hyperlink r:id="rId1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[R30] AGS Beers Criteria update。机构或作者：AGS；版本：2023；适用范围及证据用途：美国通常≥65岁人群的PIM筛查；临终及安宁疗护情境需单独判断；核验：2026年10月25日。</w:t>
      </w:r>
      <w:hyperlink r:id="rId15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[R31] STOPP START criteria version 3。机构或作者：O Mahony等 European Geriatric Medicine；版本：2023；适用范围及证据用途：欧洲老年不适当处方与治疗遗漏筛查；结合本地药品及适应证；核验：2026年10月25日。</w:t>
      </w:r>
      <w:hyperlink r:id="rId16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[R40] Multimorbidity clinical assessment and management NG56。机构或作者：NICE；版本：2016；适用范围及证据用途：多病共存治疗负担、目标与处方评估；核验：2026年10月25日。</w:t>
      </w:r>
      <w:hyperlink r:id="rId17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07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sc.cma.org.cn/art/2023/6/21/art_619_51441.html" TargetMode="External"/><Relationship Id="rId11" Type="http://schemas.openxmlformats.org/officeDocument/2006/relationships/hyperlink" Target="https://rs.yiigle.com/CN115399202004/1494603.htm" TargetMode="External"/><Relationship Id="rId12" Type="http://schemas.openxmlformats.org/officeDocument/2006/relationships/hyperlink" Target="https://doi.org/10.2337/dc26-s013" TargetMode="External"/><Relationship Id="rId13" Type="http://schemas.openxmlformats.org/officeDocument/2006/relationships/hyperlink" Target="https://kdigo.org/guidelines/ckd--evaluation-and-management/" TargetMode="External"/><Relationship Id="rId14" Type="http://schemas.openxmlformats.org/officeDocument/2006/relationships/hyperlink" Target="https://www.cadrj.com/CN/10.3760/cma.j.cn114015-20250822-00445" TargetMode="External"/><Relationship Id="rId15" Type="http://schemas.openxmlformats.org/officeDocument/2006/relationships/hyperlink" Target="https://www.americangeriatrics.org/media-center/news/ags-releases-updated-beers-criteriar-2023" TargetMode="External"/><Relationship Id="rId16" Type="http://schemas.openxmlformats.org/officeDocument/2006/relationships/hyperlink" Target="https://pubmed.ncbi.nlm.nih.gov/37256475/" TargetMode="External"/><Relationship Id="rId17" Type="http://schemas.openxmlformats.org/officeDocument/2006/relationships/hyperlink" Target="https://www.nice.org.uk/guidance/ng56/chapter/recommend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老年多病共存治疗决策与多重用药管理规则库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