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老年内科三级医师查房决策与层级表达模板库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三级决策职责与最小内容  |  </w:t>
        </w:r>
      </w:hyperlink>
      <w:hyperlink w:anchor="s4">
        <w:r>
          <w:t>4 七场景与三职称共21种查房模板  |  </w:t>
        </w:r>
      </w:hyperlink>
      <w:hyperlink w:anchor="s5">
        <w:r>
          <w:t>5 同一虚构病例的三级决策差异  |  </w:t>
        </w:r>
      </w:hyperlink>
      <w:hyperlink w:anchor="s6">
        <w:r>
          <w:t>6 医学文书代码框输出最高规则  |  </w:t>
        </w:r>
      </w:hyperlink>
      <w:hyperlink w:anchor="s7">
        <w:r>
          <w:t>7 医学事实边界与协同规则  |  </w:t>
        </w:r>
      </w:hyperlink>
      <w:hyperlink w:anchor="s8">
        <w:r>
          <w:t>8 常见错误与禁止事项  |  </w:t>
        </w:r>
      </w:hyperlink>
      <w:hyperlink w:anchor="s9">
        <w:r>
          <w:t>9 典型临床应用示例  |  </w:t>
        </w:r>
      </w:hyperlink>
      <w:hyperlink w:anchor="s10">
        <w:r>
          <w:t>10 质量控制清单  |  </w:t>
        </w:r>
      </w:hyperlink>
      <w:hyperlink w:anchor="s11">
        <w:r>
          <w:t>11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通用功能层。模块职责：三种职称和七种场景的决策表达。</w:t>
      </w:r>
    </w:p>
    <w:p>
      <w:r>
        <w:rPr>
          <w:b/>
        </w:rPr>
        <w:t xml:space="preserve">调用条件  </w:t>
      </w:r>
      <w:r>
        <w:t>要求主治、副主任、主任医师查房，或比较三级决策。</w:t>
      </w:r>
    </w:p>
    <w:p>
      <w:r>
        <w:rPr>
          <w:b/>
        </w:rPr>
        <w:t xml:space="preserve">所需患者资料  </w:t>
      </w:r>
      <w:r>
        <w:t>当次病情查体和检查、实际查房者姓名职称、真实意见、现用治疗、CGA及目标。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1．核对查房是否实际发生、人员职称及当日事实。</w:t>
      </w:r>
    </w:p>
    <w:p>
      <w:r>
        <w:t>2．确定七种场景之一，加载相应专病。</w:t>
      </w:r>
    </w:p>
    <w:p>
      <w:r>
        <w:t>3．按职称聚焦不同问题，只有实际意见可归属该医师。</w:t>
      </w:r>
    </w:p>
    <w:p>
      <w:r>
        <w:t>4．核对建议、医嘱、执行和复评，保留诊断变化依据。</w:t>
      </w:r>
    </w:p>
    <w:p>
      <w:r>
        <w:t>5．10审查后按外置日期标题和单段正文输出。</w:t>
      </w:r>
    </w:p>
    <w:p>
      <w:bookmarkStart w:id="3" w:name="s3"/>
      <w:pPr>
        <w:pStyle w:val="Heading1"/>
      </w:pPr>
      <w:r>
        <w:t>3 三级决策职责与最小内容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329"/>
        <w:gridCol w:w="2608"/>
      </w:tblGrid>
      <w:tr>
        <w:trPr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职称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决策重点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避免</w:t>
            </w:r>
          </w:p>
        </w:tc>
      </w:tr>
      <w:tr>
        <w:trPr/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主治医师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当前诊断证据、关键鉴别、检查解释与执行核对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仅换姓名或增加字数；虚构分析深度与实际意见</w:t>
            </w:r>
          </w:p>
        </w:tc>
      </w:tr>
      <w:tr>
        <w:trPr/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副主任医师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多病共存与严重程度、CGA、方案优化和协作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仅换姓名或增加字数；虚构分析深度与实际意见</w:t>
            </w:r>
          </w:p>
        </w:tc>
      </w:tr>
      <w:tr>
        <w:trPr/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主任医师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复杂诊断、疾病主次、关键策略、重大取舍和长期目标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仅换姓名或增加字数；虚构分析深度与实际意见</w:t>
            </w:r>
          </w:p>
        </w:tc>
      </w:tr>
    </w:tbl>
    <w:p/>
    <w:p>
      <w:r>
        <w:t>“三级医师查房”表示不同层级临床决策与核心制度要求，不意味着每次都必须同时出现三个职称。本库细分主治、副主任与主任表达；本院岗位及查房制度优先落实。没有当次真实意见时，可输出“供查房准备的分析提纲”，不能套写“某主任指出”。</w:t>
      </w:r>
    </w:p>
    <w:p>
      <w:bookmarkStart w:id="4" w:name="s4"/>
      <w:pPr>
        <w:pStyle w:val="Heading1"/>
      </w:pPr>
      <w:r>
        <w:t>4 七场景与三职称共21种查房模板</w:t>
      </w:r>
      <w:bookmarkEnd w:id="4"/>
    </w:p>
    <w:p>
      <w:pPr>
        <w:pStyle w:val="Heading2"/>
      </w:pPr>
      <w:r>
        <w:t>首次查房</w:t>
      </w:r>
    </w:p>
    <w:p>
      <w:r>
        <w:t>场景任务：核对入院诊断证据、尚未解决问题与初始治疗反应。决策问题：入院证据是否足够；必要鉴别与近期安全监测。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【姓名】主治医师首次查房记录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首次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【姓名】副主任医师首次查房记录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首次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【姓名】主任医师首次查房记录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首次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日常查房</w:t>
      </w:r>
    </w:p>
    <w:p>
      <w:r>
        <w:t>场景任务：围绕当日变化、检查、执行和复评。决策问题：哪些问题有新证据；哪些计划需调整或继续。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【姓名】主治医师日常查房记录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日常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【姓名】副主任医师日常查房记录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日常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【姓名】主任医师日常查房记录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日常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危重查房</w:t>
      </w:r>
    </w:p>
    <w:p>
      <w:r>
        <w:t>场景任务：优先器官风险、抢救及支持响应。决策问题：可逆诱因、升级救治、即时目标与复评终点。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【姓名】主治医师危重查房记录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危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【姓名】副主任医师危重查房记录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危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【姓名】主任医师危重查房记录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危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诊断变更查房</w:t>
      </w:r>
    </w:p>
    <w:p>
      <w:r>
        <w:t>场景任务：把旧结论、新证据及修正时间连起来。决策问题：修正是新增、排除还是替代；是否改变治疗。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【姓名】主治医师诊断变更查房记录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诊断变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【姓名】副主任医师诊断变更查房记录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诊断变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【姓名】主任医师诊断变更查房记录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诊断变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治疗调整查房</w:t>
      </w:r>
    </w:p>
    <w:p>
      <w:r>
        <w:t>场景任务：明确调整触发、共病冲突及执行状态。决策问题：获益风险、替代方案、监测和回退条件。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【姓名】主治医师治疗调整查房记录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治疗调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【姓名】副主任医师治疗调整查房记录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治疗调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【姓名】主任医师治疗调整查房记录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治疗调整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会诊后查房</w:t>
      </w:r>
    </w:p>
    <w:p>
      <w:r>
        <w:t>场景任务：核对会诊真实意见及落实情况。决策问题：采纳与未采纳的理由；任务分工与未决问题。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【姓名】主治医师会诊后查房记录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会诊后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【姓名】副主任医师会诊后查房记录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会诊后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【姓名】主任医师会诊后查房记录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会诊后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pPr>
        <w:pStyle w:val="Heading2"/>
      </w:pPr>
      <w:r>
        <w:t>出院前查房</w:t>
      </w:r>
    </w:p>
    <w:p>
      <w:r>
        <w:t>场景任务：核对稳定性、功能、药单及承接。决策问题：出院条件、残留问题、照护者能力和复诊责任。</w:t>
      </w:r>
    </w:p>
    <w:p>
      <w:r>
        <w:rPr>
          <w:b/>
        </w:rPr>
        <w:t xml:space="preserve">主治医师模板  </w:t>
      </w:r>
      <w:r>
        <w:t>当前诊断证据、关键鉴别、检查解释与执行核对。</w:t>
      </w:r>
    </w:p>
    <w:p>
      <w:pPr>
        <w:keepNext/>
      </w:pPr>
      <w:r>
        <w:t>【文书实际日期及时间】 【姓名】主治医师出院前查房记录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真实症状及变化】。查体：【当日实际结果】。辅助检查：【当时已回报结果及临床意义】。【姓名】主治医师分析：诊断依据【与本次症状体征和检查逐项对应】；鉴别【支持反对及需补证据】；当前治疗执行【真实状态】，调整依据【】；近期观察【】。结合出院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副主任医师模板  </w:t>
      </w:r>
      <w:r>
        <w:t>多病共存与严重程度、CGA、方案优化和协作。</w:t>
      </w:r>
    </w:p>
    <w:p>
      <w:pPr>
        <w:keepNext/>
      </w:pPr>
      <w:r>
        <w:t>【文书实际日期及时间】 【姓名】副主任医师出院前查房记录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诉【当日真实症状及变化】。查体：【当日实际结果】。辅助检查：【当时已回报结果及临床意义】。【姓名】副主任医师分析：综合【主要疾病与共病作用】及【实际CGA】判断【严重程度与并发风险】；权衡【方案获益和器官风险】后确认【优化策略及MDT分工】，复评【】。结合出院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主任医师模板  </w:t>
      </w:r>
      <w:r>
        <w:t>复杂诊断、疾病主次、关键策略、重大取舍和长期目标。</w:t>
      </w:r>
    </w:p>
    <w:p>
      <w:pPr>
        <w:keepNext/>
      </w:pPr>
      <w:r>
        <w:t>【文书实际日期及时间】 【姓名】主任医师出院前查房记录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诉【当日真实症状及变化】。查体：【当日实际结果】。辅助检查：【当时已回报结果及临床意义】。【姓名】主任医师分析：对【复杂或疑难问题】作出【实际诊断判断及剩余不确定性】；明确【当前主次与关键策略】，比较【相互竞争治疗的获益风险】；结合【患者功能、意愿及长期目标】决定【实际重大决策】，预后与复评【】。结合出院前查房需要，【上述场景的实际决策与执行状态】，关注【责任及复评终点】。</w:t>
      </w:r>
    </w:p>
    <w:p>
      <w:pPr>
        <w:pStyle w:val="Code"/>
      </w:pPr>
      <w:r>
        <w:t>```</w:t>
      </w:r>
    </w:p>
    <w:p>
      <w:bookmarkStart w:id="5" w:name="s5"/>
      <w:pPr>
        <w:pStyle w:val="Heading1"/>
      </w:pPr>
      <w:r>
        <w:t>5 同一虚构病例的三级决策差异</w:t>
      </w:r>
      <w:bookmarkEnd w:id="5"/>
    </w:p>
    <w:p>
      <w:r>
        <w:t>SIM11已确诊心衰并存肾功能异常，实际资料提示充血仍在、治疗耐受受限。以下是虚构教学中的三种决策内容，不代表真实查房发生。</w:t>
      </w:r>
    </w:p>
    <w:p>
      <w:pPr>
        <w:keepNext/>
      </w:pPr>
      <w:r>
        <w:t>2026年10月25日 09:00 模拟主治医师查房记录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患者活动后气促，双下肢水肿。当前心衰诊断有既往确诊及本次充血表现支持，需与肺部感染等鉴别；核对当前利尿治疗执行及尿量，关注血压、肾功能与电解质变化。</w:t>
      </w:r>
    </w:p>
    <w:p>
      <w:pPr>
        <w:pStyle w:val="Code"/>
      </w:pPr>
      <w:r>
        <w:t>```</w:t>
      </w:r>
    </w:p>
    <w:p>
      <w:pPr>
        <w:keepNext/>
      </w:pPr>
      <w:r>
        <w:t>2026年10月25日 10:00 模拟副主任医师查房记录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心衰与肾功能异常相互影响，持续充血和容量不足均可能影响肾灌注；需结合尿量、血压及体重判断容量，优化治疗并核对肾功能相关药物风险，同时评估活动及营养下降对恢复的影响，必要时联合肾内科和药师评估。</w:t>
      </w:r>
    </w:p>
    <w:p>
      <w:pPr>
        <w:pStyle w:val="Code"/>
      </w:pPr>
      <w:r>
        <w:t>```</w:t>
      </w:r>
    </w:p>
    <w:p>
      <w:pPr>
        <w:keepNext/>
      </w:pPr>
      <w:r>
        <w:t>2026年10月25日 11:00 模拟主任医师查房记录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当前决策核心是缓解充血同时维持灌注与可接受的治疗负担，肾功能变化须结合去充血效果和临床状态解释；应明确患者优先目标、病前功能及可逆问题，再决定治疗强度与复评界限，避免只追求单项化验正常而忽视整体获益，后续以症状、功能和再住院风险共同评价策略。</w:t>
      </w:r>
    </w:p>
    <w:p>
      <w:pPr>
        <w:pStyle w:val="Code"/>
      </w:pPr>
      <w:r>
        <w:t>```</w:t>
      </w:r>
    </w:p>
    <w:p>
      <w:bookmarkStart w:id="6" w:name="s6"/>
      <w:pPr>
        <w:pStyle w:val="Heading1"/>
      </w:pPr>
      <w:r>
        <w:t>6 医学文书代码框输出最高规则</w:t>
      </w:r>
      <w:bookmarkEnd w:id="6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7" w:name="s7"/>
      <w:pPr>
        <w:pStyle w:val="Heading1"/>
      </w:pPr>
      <w:r>
        <w:t>7 医学事实边界与协同规则</w:t>
      </w:r>
      <w:bookmarkEnd w:id="7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8" w:name="s8"/>
      <w:pPr>
        <w:pStyle w:val="Heading1"/>
      </w:pPr>
      <w:r>
        <w:t>8 常见错误与禁止事项</w:t>
      </w:r>
      <w:bookmarkEnd w:id="8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9" w:name="s9"/>
      <w:pPr>
        <w:pStyle w:val="Heading1"/>
      </w:pPr>
      <w:r>
        <w:t>9 典型临床应用示例</w:t>
      </w:r>
      <w:bookmarkEnd w:id="9"/>
    </w:p>
    <w:p>
      <w:r>
        <w:t>以下为明确虚构病例，仅用于展示调用与书写，不代表真实患者资料。SIM12用户只说“帮写主任查房”，未提供主任真实意见。系统请求补充实际意见或生成明确标记的查房准备材料；不能直接为不存在的主任发言署名。</w:t>
      </w:r>
    </w:p>
    <w:p>
      <w:bookmarkStart w:id="10" w:name="s10"/>
      <w:pPr>
        <w:pStyle w:val="Heading1"/>
      </w:pPr>
      <w:r>
        <w:t>10 质量控制清单</w:t>
      </w:r>
      <w:bookmarkEnd w:id="10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真实姓名职称和查房意见有依据</w:t>
      </w:r>
    </w:p>
    <w:p>
      <w:r>
        <w:t>□ 层级差异体现临床决策，不由字数制造</w:t>
      </w:r>
    </w:p>
    <w:p>
      <w:bookmarkStart w:id="11" w:name="s11"/>
      <w:pPr>
        <w:pStyle w:val="Heading1"/>
      </w:pPr>
      <w:r>
        <w:t>11 版本与证据更新</w:t>
      </w:r>
      <w:bookmarkEnd w:id="11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14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08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804/42ab2552298047679cd6ec733f233862.shtml" TargetMode="External"/><Relationship Id="rId12" Type="http://schemas.openxmlformats.org/officeDocument/2006/relationships/hyperlink" Target="https://www.nhc.gov.cn/yzygj/c100068/202505/cb8fc8b895b142938027facaeee62e90.shtml" TargetMode="External"/><Relationship Id="rId13" Type="http://schemas.openxmlformats.org/officeDocument/2006/relationships/hyperlink" Target="https://csc.cma.org.cn/art/2024/4/18/art_619_56220.html" TargetMode="External"/><Relationship Id="rId14" Type="http://schemas.openxmlformats.org/officeDocument/2006/relationships/hyperlink" Target="https://www.nice.org.uk/guidance/ng56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老年内科三级医师查房决策与层级表达模板库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