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老年康复营养功能管理及出院随访模板库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20项功能与照护场景模板  |  </w:t>
        </w:r>
      </w:hyperlink>
      <w:hyperlink w:anchor="s4">
        <w:r>
          <w:t>4 出院指导整合模板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通用功能层。模块职责：功能、营养、康复、随访与照护衔接。</w:t>
      </w:r>
    </w:p>
    <w:p>
      <w:r>
        <w:rPr>
          <w:b/>
        </w:rPr>
        <w:t xml:space="preserve">调用条件  </w:t>
      </w:r>
      <w:r>
        <w:t>病情稳定后功能恢复、营养、康复、出院准备、随访及长期照护。</w:t>
      </w:r>
    </w:p>
    <w:p>
      <w:r>
        <w:rPr>
          <w:b/>
        </w:rPr>
        <w:t xml:space="preserve">所需患者资料  </w:t>
      </w:r>
      <w:r>
        <w:t>基线及当前功能、认知吞咽、活动风险、营养、用药、装置、患者意愿、真实照护资源和出院去向。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1．先核内科稳定性与安全活动进食条件。</w:t>
      </w:r>
    </w:p>
    <w:p>
      <w:r>
        <w:t>2．按03形成实际问题清单，区分基线与急性损害。</w:t>
      </w:r>
    </w:p>
    <w:p>
      <w:r>
        <w:t>3．设共同目标和可实施方案，记录实施者与真实耐受。</w:t>
      </w:r>
    </w:p>
    <w:p>
      <w:r>
        <w:t>4．出院前重评功能、药单、装置、照护能力和待回报结果。</w:t>
      </w:r>
    </w:p>
    <w:p>
      <w:r>
        <w:t>5．落实随访和转介责任；经10核对去向和医嘱一致性。</w:t>
      </w:r>
    </w:p>
    <w:p>
      <w:bookmarkStart w:id="3" w:name="s3"/>
      <w:pPr>
        <w:pStyle w:val="Heading1"/>
      </w:pPr>
      <w:r>
        <w:t>3 20项功能与照护场景模板</w:t>
      </w:r>
      <w:bookmarkEnd w:id="3"/>
    </w:p>
    <w:p>
      <w:pPr>
        <w:pStyle w:val="Heading2"/>
      </w:pPr>
      <w:r>
        <w:t>功能恢复</w:t>
      </w:r>
    </w:p>
    <w:p>
      <w:r>
        <w:t>比较病前、入院和当前转移步行自理能力，设有意义且可衡量目标。</w:t>
      </w:r>
    </w:p>
    <w:p>
      <w:pPr>
        <w:keepNext/>
      </w:pPr>
      <w:r>
        <w:t>【文书实际日期及时间】 功能恢复记录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目标【】；基线【】、当前【】；拟【确认训练及协助】，复评【】。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床上与离床活动</w:t>
      </w:r>
    </w:p>
    <w:p>
      <w:r>
        <w:t>先核血流动力学、呼吸、疼痛、跌倒及实际操作限制，分级推进。</w:t>
      </w:r>
    </w:p>
    <w:p>
      <w:pPr>
        <w:keepNext/>
      </w:pPr>
      <w:r>
        <w:t>【文书实际日期及时间】 床上与离床活动记录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已在【保护及协助条件】完成【真实活动】；耐受【】；拟【下一步计划和中止条件】。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步态平衡训练</w:t>
      </w:r>
    </w:p>
    <w:p>
      <w:r>
        <w:t>结合实际测量和器具，由合适人员确定训练方式。</w:t>
      </w:r>
    </w:p>
    <w:p>
      <w:pPr>
        <w:keepNext/>
      </w:pPr>
      <w:r>
        <w:t>【文书实际日期及时间】 步态平衡训练记录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步态与平衡【实测】；器具及协助【】；已实施【】，后续【】。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跌倒预防</w:t>
      </w:r>
    </w:p>
    <w:p>
      <w:r>
        <w:t>评估药物、体位低压、视力、鞋具、夜间如厕、环境和监护。</w:t>
      </w:r>
    </w:p>
    <w:p>
      <w:pPr>
        <w:keepNext/>
      </w:pPr>
      <w:r>
        <w:t>【文书实际日期及时间】 跌倒预防记录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主要跌倒因素【】；已落实【环境及协助措施】；待解决【】，复评【】。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肌少症干预</w:t>
      </w:r>
    </w:p>
    <w:p>
      <w:r>
        <w:t>客观测量、抗阻活动与营养联合，负荷依耐受及共病。</w:t>
      </w:r>
    </w:p>
    <w:p>
      <w:pPr>
        <w:keepNext/>
      </w:pPr>
      <w:r>
        <w:t>【文书实际日期及时间】 肌少症干预记录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肌肉健康依据【】；拟【经确认训练及营养方案】；复评【肌力、肌量或体能】。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营养不良管理</w:t>
      </w:r>
    </w:p>
    <w:p>
      <w:r>
        <w:t>从摄入、病因、口腔吞咽和营养需求设个体方案，注意再喂养。</w:t>
      </w:r>
    </w:p>
    <w:p>
      <w:pPr>
        <w:keepNext/>
      </w:pPr>
      <w:r>
        <w:t>【文书实际日期及时间】 营养不良管理记录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营养问题及依据【】；通路与实际摄入【】；耐受【】；调整计划【】。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吞咽与误吸</w:t>
      </w:r>
    </w:p>
    <w:p>
      <w:r>
        <w:t>根据真实筛查或专科结果确定质地、体位、辅助和口腔照护。</w:t>
      </w:r>
    </w:p>
    <w:p>
      <w:pPr>
        <w:keepNext/>
      </w:pPr>
      <w:r>
        <w:t>【文书实际日期及时间】 吞咽与误吸记录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吞咽评估【】；当前进食通路及质地【】；实际照护【】；复评【】。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压力性损伤预防</w:t>
      </w:r>
    </w:p>
    <w:p>
      <w:r>
        <w:t>结合活动、皮肤、营养、失禁和器具，安排减压及个体翻身。</w:t>
      </w:r>
    </w:p>
    <w:p>
      <w:pPr>
        <w:keepNext/>
      </w:pPr>
      <w:r>
        <w:t>【文书实际日期及时间】 压力性损伤预防记录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皮肤及风险【】；减压与体位措施【已实施】；重点观察部位【】，复评【】。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尿便功能</w:t>
      </w:r>
    </w:p>
    <w:p>
      <w:r>
        <w:t>区分潴留、失禁、便秘及药物影响，审查留置必要性。</w:t>
      </w:r>
    </w:p>
    <w:p>
      <w:pPr>
        <w:keepNext/>
      </w:pPr>
      <w:r>
        <w:t>【文书实际日期及时间】 尿便功能记录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排泄问题【】；原因评估【】；已予【实际措施】，计划【】。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认知与心理</w:t>
      </w:r>
    </w:p>
    <w:p>
      <w:r>
        <w:t>先排谵妄，提供定向、视听支持、睡眠及心理照护。</w:t>
      </w:r>
    </w:p>
    <w:p>
      <w:pPr>
        <w:keepNext/>
      </w:pPr>
      <w:r>
        <w:t>【文书实际日期及时间】 认知与心理记录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当前认知情绪【实际表现】；支持措施【】；需转介问题【】。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多病共存康复</w:t>
      </w:r>
    </w:p>
    <w:p>
      <w:r>
        <w:t>把心肺耐受、血糖、肾功能与疼痛纳入训练目标。</w:t>
      </w:r>
    </w:p>
    <w:p>
      <w:pPr>
        <w:keepNext/>
      </w:pPr>
      <w:r>
        <w:t>【文书实际日期及时间】 多病共存康复记录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主病限制【】；共病冲突【】；联合方案【确认内容】；中止及复评【】。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慢病管理</w:t>
      </w:r>
    </w:p>
    <w:p>
      <w:r>
        <w:t>目标与自我管理能力、认知和照护资源匹配。</w:t>
      </w:r>
    </w:p>
    <w:p>
      <w:pPr>
        <w:keepNext/>
      </w:pPr>
      <w:r>
        <w:t>【文书实际日期及时间】 慢病管理记录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慢病目标【】；监测及实际能力【】；教育完成情况【】；待落实【】。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出院前功能</w:t>
      </w:r>
    </w:p>
    <w:p>
      <w:r>
        <w:t>重新评估转移、步行、进食、如厕与药物管理，不沿用入院值。</w:t>
      </w:r>
    </w:p>
    <w:p>
      <w:pPr>
        <w:keepNext/>
      </w:pPr>
      <w:r>
        <w:t>【文书实际日期及时间】 出院前功能记录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出院时能力【】；需要协助【】；与病前比较【】；承接建议【】。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出院药物核对</w:t>
      </w:r>
    </w:p>
    <w:p>
      <w:r>
        <w:t>逐项核定继续、停用、调整及原因，含监测和供药。</w:t>
      </w:r>
    </w:p>
    <w:p>
      <w:pPr>
        <w:keepNext/>
      </w:pPr>
      <w:r>
        <w:t>【文书实际日期及时间】 出院药物核对记录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已核对药单【】；停调原因【】；执行与照护者掌握【实际核实】，复查【】。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照护能力</w:t>
      </w:r>
    </w:p>
    <w:p>
      <w:r>
        <w:t>实际演示或复述喂养、转移、服药、皮肤和求助任务。</w:t>
      </w:r>
    </w:p>
    <w:p>
      <w:pPr>
        <w:keepNext/>
      </w:pPr>
      <w:r>
        <w:t>【文书实际日期及时间】 照护能力记录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主要照护者【】；已掌握【实际核验】；能力缺口【】；支持安排【】。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出院随访</w:t>
      </w:r>
    </w:p>
    <w:p>
      <w:r>
        <w:t>按风险与治疗变化确定复查项目、时间、地点和责任。</w:t>
      </w:r>
    </w:p>
    <w:p>
      <w:pPr>
        <w:keepNext/>
      </w:pPr>
      <w:r>
        <w:t>【文书实际日期及时间】 出院随访记录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随访目的【】；确认时间与机构【】；需追踪报告【】；责任及联系【】。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居家安全与器具</w:t>
      </w:r>
    </w:p>
    <w:p>
      <w:r>
        <w:t>核对房屋、浴厕、照明、通道、扶手和器具适配。</w:t>
      </w:r>
    </w:p>
    <w:p>
      <w:pPr>
        <w:keepNext/>
      </w:pPr>
      <w:r>
        <w:t>【文书实际日期及时间】 居家安全与器具记录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居家风险【实际资料】；所需器具【】；已落实【】；未落实替代【】。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复诊警示症状</w:t>
      </w:r>
    </w:p>
    <w:p>
      <w:r>
        <w:t>结合具体疾病、用药与功能给出可执行求助方案。</w:t>
      </w:r>
    </w:p>
    <w:p>
      <w:pPr>
        <w:keepNext/>
      </w:pPr>
      <w:r>
        <w:t>【文书实际日期及时间】 复诊警示症状记录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如出现【个体化警示】应【确认求助路径】；日常监测【】，无法自测时由【已确定人员】协助。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长期照护转介</w:t>
      </w:r>
    </w:p>
    <w:p>
      <w:r>
        <w:t>确定出院去向、服务能力、药单与装置交接、未回报检查责任。</w:t>
      </w:r>
    </w:p>
    <w:p>
      <w:pPr>
        <w:keepNext/>
      </w:pPr>
      <w:r>
        <w:t>【文书实际日期及时间】 长期照护转介记录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去向【已确定】；承接机构或人员【】；待办【】；交接完成及缺口【】。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pPr>
        <w:pStyle w:val="Heading2"/>
      </w:pPr>
      <w:r>
        <w:t>安宁疗护衔接</w:t>
      </w:r>
    </w:p>
    <w:p>
      <w:r>
        <w:t>围绕真实意愿、决策能力、症状和照护目标，区分具体治疗限制。</w:t>
      </w:r>
    </w:p>
    <w:p>
      <w:pPr>
        <w:keepNext/>
      </w:pPr>
      <w:r>
        <w:t>【文书实际日期及时间】 安宁疗护衔接记录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患者目标【实际表达】；决策及沟通【】；舒适照护方案【确认内容】；转介与家庭支持【】。</w:t>
      </w:r>
    </w:p>
    <w:p>
      <w:pPr>
        <w:pStyle w:val="Code"/>
      </w:pPr>
      <w:r>
        <w:t>```</w:t>
      </w:r>
    </w:p>
    <w:p>
      <w:r>
        <w:t>缺失与质控：未实际训练、评估或教育时保留为计划；未知照护能力不能写“家属已掌握”，未确认去向不能写“回家休养”。</w:t>
      </w:r>
    </w:p>
    <w:p>
      <w:bookmarkStart w:id="4" w:name="s4"/>
      <w:pPr>
        <w:pStyle w:val="Heading1"/>
      </w:pPr>
      <w:r>
        <w:t>4 出院指导整合模板</w:t>
      </w:r>
      <w:bookmarkEnd w:id="4"/>
    </w:p>
    <w:p>
      <w:pPr>
        <w:keepNext/>
      </w:pPr>
      <w:r>
        <w:t>【文书实际日期及时间】 出院照护指导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出院功能与需协助任务：【】</w:t>
      </w:r>
    </w:p>
    <w:p>
      <w:pPr>
        <w:pStyle w:val="Code"/>
      </w:pPr>
      <w:r>
        <w:t>活动计划及安全保护：【】</w:t>
      </w:r>
    </w:p>
    <w:p>
      <w:pPr>
        <w:pStyle w:val="Code"/>
      </w:pPr>
      <w:r>
        <w:t>营养通路、质地与吞咽要求：【】</w:t>
      </w:r>
    </w:p>
    <w:p>
      <w:pPr>
        <w:pStyle w:val="Code"/>
      </w:pPr>
      <w:r>
        <w:t>药物执行及监测：【核定药单及责任人】</w:t>
      </w:r>
    </w:p>
    <w:p>
      <w:pPr>
        <w:pStyle w:val="Code"/>
      </w:pPr>
      <w:r>
        <w:t>皮肤、排泄和装置照护：【】</w:t>
      </w:r>
    </w:p>
    <w:p>
      <w:pPr>
        <w:pStyle w:val="Code"/>
      </w:pPr>
      <w:r>
        <w:t>复诊复查与未回报结果：【】</w:t>
      </w:r>
    </w:p>
    <w:p>
      <w:pPr>
        <w:pStyle w:val="Code"/>
      </w:pPr>
      <w:r>
        <w:t>危险信号与求助：【】</w:t>
      </w:r>
    </w:p>
    <w:p>
      <w:pPr>
        <w:pStyle w:val="Code"/>
        <w:keepNext/>
      </w:pPr>
      <w:r>
        <w:t>去向、承接和照护能力缺口：【已落实与待解决分开】</w:t>
      </w:r>
    </w:p>
    <w:p>
      <w:pPr>
        <w:pStyle w:val="Code"/>
      </w:pPr>
      <w:r>
        <w:t>```</w:t>
      </w:r>
    </w:p>
    <w:p>
      <w:r>
        <w:t>治疗限制、拒绝某项操作、DNR及安宁疗护不是同义词。不得凭高龄、失能或家属一句“保守治疗”自动生成全面不抢救决定。能力评估、患者合法意愿、代理权限及本院流程须由临床团队核实；记录具体范围、时点及可复核安排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SIM13为失能且吞咽障碍老人，照护者尚未学会管饲。系统不写“家属已掌握，可自行进食”；列明安全进食和照护培训缺口，转09、05及107/108，待真实完成培训和去向确认后生成出院净稿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出院功能为当次实际评估，活动营养建议可执行</w:t>
      </w:r>
    </w:p>
    <w:p>
      <w:r>
        <w:t>□ 照护者能力、装置交接、未回报报告责任明确</w:t>
      </w:r>
    </w:p>
    <w:p>
      <w:r>
        <w:t>□ 安宁疗护与具体治疗限制没有混同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[R21] 中国老年糖尿病诊疗指南 2024版。机构或作者：指南编写组 中华老年医学杂志等；版本：2024；适用范围及证据用途：中国老年糖尿病分层与个体化治疗；不等同于另一系列2026年指南；核验：2026年10月25日。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[R38] Falls assessment and prevention NG249。机构或作者：NICE；版本：2025；适用范围及证据用途：老年及高风险≥50岁人群，综合跌倒评估而非用单一分数预测跌倒；核验：2026年10月25日。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[R39] Pressure ulcers prevention and management CG179。机构或作者：NICE；版本：2014；适用范围及证据用途：压力损伤风险及皮肤评估；具体分期用本院采纳版本；核验：2026年10月25日。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[R40] Multimorbidity clinical assessment and management NG56。机构或作者：NICE；版本：2016；适用范围及证据用途：多病共存治疗负担、目标与处方评估；核验：2026年10月25日。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[R41] Integrated care for older people ICOPE second edition。机构或作者：WHO；版本：2025；适用范围及证据用途：基层老年内在能力和以人为中心照护；住院CGA作补充；核验：2026年10月25日。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[R42] 安宁疗护实践指南 2025年版。机构或作者：国家卫生健康委办公厅；版本：2025；适用范围及证据用途：终末期症状控制、舒适照护、心理与社会支持；核验：2026年10月25日。</w:t>
      </w:r>
      <w:hyperlink r:id="rId17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09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yzygj/c100068/202505/cb8fc8b895b142938027facaeee62e90.shtml" TargetMode="External"/><Relationship Id="rId11" Type="http://schemas.openxmlformats.org/officeDocument/2006/relationships/hyperlink" Target="https://rs.yiigle.com/CN115399202004/1494603.htm" TargetMode="External"/><Relationship Id="rId12" Type="http://schemas.openxmlformats.org/officeDocument/2006/relationships/hyperlink" Target="https://www.espen.org/files/ESPEN-Guidelines/ESPEN_practical_guideline_Clinical_nutrition_and_hydration_in_geriatrics.pdf" TargetMode="External"/><Relationship Id="rId13" Type="http://schemas.openxmlformats.org/officeDocument/2006/relationships/hyperlink" Target="https://www.nice.org.uk/guidance/ng249/chapter/Recommendations/" TargetMode="External"/><Relationship Id="rId14" Type="http://schemas.openxmlformats.org/officeDocument/2006/relationships/hyperlink" Target="https://www.nice.org.uk/guidance/cg179/chapter/Recommendations" TargetMode="External"/><Relationship Id="rId15" Type="http://schemas.openxmlformats.org/officeDocument/2006/relationships/hyperlink" Target="https://www.nice.org.uk/guidance/ng56/chapter/recommendations" TargetMode="External"/><Relationship Id="rId16" Type="http://schemas.openxmlformats.org/officeDocument/2006/relationships/hyperlink" Target="https://www.who.int/publications/i/item/9789240103726" TargetMode="External"/><Relationship Id="rId17" Type="http://schemas.openxmlformats.org/officeDocument/2006/relationships/hyperlink" Target="https://www.nhc.gov.cn/cms-search/xxgk/getManuscriptXxgk.htm?id=77bbbf599f894e40bbeffff938e8a5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老年康复营养功能管理及出院随访模板库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