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老年内科病历最终质控诊断修正及时间轴一致性审查库</w:t>
      </w:r>
    </w:p>
    <w:p>
      <w:r>
        <w:t>老年内科AI病历书写系统及医学文书模板库  |  V1.0  |  核验日期 2026年10月25日</w:t>
      </w:r>
    </w:p>
    <w:p>
      <w:r>
        <w:t>本文件供临床医师调用、审阅和修改。医学知识用于辅助判断；患者事实以核对后的实际资料为准。系统不能替代接诊、查体、诊断、处方、医嘱、知情沟通、签名和上级医师审核。</w:t>
      </w:r>
    </w:p>
    <w:p>
      <w:r>
        <w:rPr>
          <w:b/>
        </w:rPr>
        <w:t xml:space="preserve">阅读导航  </w:t>
      </w:r>
      <w:hyperlink w:anchor="s1">
        <w:r>
          <w:t>1 模块定位与调用接口  |  </w:t>
        </w:r>
      </w:hyperlink>
      <w:hyperlink w:anchor="s2">
        <w:r>
          <w:t>2 完整工作流程  |  </w:t>
        </w:r>
      </w:hyperlink>
      <w:hyperlink w:anchor="s3">
        <w:r>
          <w:t>3 21项最终审查标准  |  </w:t>
        </w:r>
      </w:hyperlink>
      <w:hyperlink w:anchor="s4">
        <w:r>
          <w:t>4 三级缺陷及处理矩阵  |  </w:t>
        </w:r>
      </w:hyperlink>
      <w:hyperlink w:anchor="s5">
        <w:r>
          <w:t>5 诊断修正与纵向一致性  |  </w:t>
        </w:r>
      </w:hyperlink>
      <w:hyperlink w:anchor="s6">
        <w:r>
          <w:t>6 医学文书代码框输出最高规则  |  </w:t>
        </w:r>
      </w:hyperlink>
      <w:hyperlink w:anchor="s7">
        <w:r>
          <w:t>7 14项模拟临床与规则验收结果  |  </w:t>
        </w:r>
      </w:hyperlink>
      <w:hyperlink w:anchor="s8">
        <w:r>
          <w:t>8 长期回归与人工验收  |  </w:t>
        </w:r>
      </w:hyperlink>
      <w:hyperlink w:anchor="s9">
        <w:r>
          <w:t>9 医学事实边界与协同规则  |  </w:t>
        </w:r>
      </w:hyperlink>
      <w:hyperlink w:anchor="s10">
        <w:r>
          <w:t>10 常见错误与禁止事项  |  </w:t>
        </w:r>
      </w:hyperlink>
      <w:hyperlink w:anchor="s11">
        <w:r>
          <w:t>11 典型临床应用示例  |  </w:t>
        </w:r>
      </w:hyperlink>
      <w:hyperlink w:anchor="s12">
        <w:r>
          <w:t>12 质量控制清单  |  </w:t>
        </w:r>
      </w:hyperlink>
      <w:hyperlink w:anchor="s13">
        <w:r>
          <w:t>13 版本与证据更新  |  </w:t>
        </w:r>
      </w:hyperlink>
    </w:p>
    <w:p>
      <w:bookmarkStart w:id="1" w:name="s1"/>
      <w:pPr>
        <w:pStyle w:val="Heading1"/>
      </w:pPr>
      <w:r>
        <w:t>1 模块定位与调用接口</w:t>
      </w:r>
      <w:bookmarkEnd w:id="1"/>
    </w:p>
    <w:p>
      <w:r>
        <w:t>所属层级：第二级 通用功能层。模块职责：最终质控、缺陷分级与14项验收。</w:t>
      </w:r>
    </w:p>
    <w:p>
      <w:r>
        <w:rPr>
          <w:b/>
        </w:rPr>
        <w:t xml:space="preserve">调用条件  </w:t>
      </w:r>
      <w:r>
        <w:t>所有临床输出前无条件执行；报告、咨询分析也检查事实与边界。</w:t>
      </w:r>
    </w:p>
    <w:p>
      <w:r>
        <w:rPr>
          <w:b/>
        </w:rPr>
        <w:t xml:space="preserve">所需患者资料  </w:t>
      </w:r>
      <w:r>
        <w:t>当前快照、原始证据与版本、草稿、目标时间、实际医师意见、药物装置和未决冲突。</w:t>
      </w:r>
    </w:p>
    <w:p>
      <w:bookmarkStart w:id="2" w:name="s2"/>
      <w:pPr>
        <w:pStyle w:val="Heading1"/>
      </w:pPr>
      <w:r>
        <w:t>2 完整工作流程</w:t>
      </w:r>
      <w:bookmarkEnd w:id="2"/>
    </w:p>
    <w:p>
      <w:r>
        <w:t>1．逐句将患者事实映射到来源及可知时间。</w:t>
      </w:r>
    </w:p>
    <w:p>
      <w:r>
        <w:t>2．按21项审查检查身份、诊断、用药、事件和输出。</w:t>
      </w:r>
    </w:p>
    <w:p>
      <w:r>
        <w:t>3．将缺陷分严重、重要、一般，区分可自动修排版与需医师核实的事实。</w:t>
      </w:r>
    </w:p>
    <w:p>
      <w:r>
        <w:t>4．严重未决阻断净稿；重要问题视是否影响安全决定补问或删去无据句。</w:t>
      </w:r>
    </w:p>
    <w:p>
      <w:r>
        <w:t>5．修订后复审；仅全闸门通过后输出，保留审核状态与版本。</w:t>
      </w:r>
    </w:p>
    <w:p>
      <w:bookmarkStart w:id="3" w:name="s3"/>
      <w:pPr>
        <w:pStyle w:val="Heading1"/>
      </w:pPr>
      <w:r>
        <w:t>3 21项最终审查标准</w:t>
      </w:r>
      <w:bookmarkEnd w:id="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4762"/>
        <w:gridCol w:w="3231"/>
      </w:tblGrid>
      <w:tr>
        <w:trPr>
          <w:tblHeader/>
        </w:trPr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6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审查项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6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核对内容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6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分级提示</w:t>
            </w:r>
          </w:p>
        </w:tc>
      </w:tr>
      <w:tr>
        <w:trPr/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患者身份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患者与住院双键、报告归属和同名核对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错配或归属不明为严重</w:t>
            </w:r>
          </w:p>
        </w:tc>
      </w:tr>
      <w:tr>
        <w:trPr/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住院时间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入出院、转科、再次住院及目标时点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跨住院混用关键动态为严重</w:t>
            </w:r>
          </w:p>
        </w:tc>
      </w:tr>
      <w:tr>
        <w:trPr/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症状与病史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主体、起病、变化与真实阴性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关键症状矛盾重要或严重</w:t>
            </w:r>
          </w:p>
        </w:tc>
      </w:tr>
      <w:tr>
        <w:trPr/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体征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当次实际测量与检查、基线比较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旧体征冒充新测为重要，影响急救为严重</w:t>
            </w:r>
          </w:p>
        </w:tc>
      </w:tr>
      <w:tr>
        <w:trPr/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检查报告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原文、单位、方法、采样、回报及纠正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关键数值错、未来结果倒写严重</w:t>
            </w:r>
          </w:p>
        </w:tc>
      </w:tr>
      <w:tr>
        <w:trPr/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诊断依据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支持反对缺失，确定程度与病因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无依据重大确诊严重</w:t>
            </w:r>
          </w:p>
        </w:tc>
      </w:tr>
      <w:tr>
        <w:trPr/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诊断变更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新证据、生效时点与前版保留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静默倒改历史重要或严重</w:t>
            </w:r>
          </w:p>
        </w:tc>
      </w:tr>
      <w:tr>
        <w:trPr/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分型分级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指南版本、适用性与完整变量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编造分数或严重程度重要或严重</w:t>
            </w:r>
          </w:p>
        </w:tc>
      </w:tr>
      <w:tr>
        <w:trPr/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CGA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逐项评估与真实时点、急性影响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虚构正常或评分重要</w:t>
            </w:r>
          </w:p>
        </w:tc>
      </w:tr>
      <w:tr>
        <w:trPr/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用药医嘱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药名剂量途径频次、器官、开立执行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严重剂量或用停矛盾严重</w:t>
            </w:r>
          </w:p>
        </w:tc>
      </w:tr>
      <w:tr>
        <w:trPr/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治疗状态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计划与已做、暂停停用及反应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虚构治疗或疗效严重</w:t>
            </w:r>
          </w:p>
        </w:tc>
      </w:tr>
      <w:tr>
        <w:trPr/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多病逻辑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主次、器官相互影响、冲突与目标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可能导致重大治疗误用严重</w:t>
            </w:r>
          </w:p>
        </w:tc>
      </w:tr>
      <w:tr>
        <w:trPr/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装置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每根部位、留置、拔除和通畅实测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重大装置状态矛盾严重</w:t>
            </w:r>
          </w:p>
        </w:tc>
      </w:tr>
      <w:tr>
        <w:trPr/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会诊落实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真实意见、采纳、未落实及责任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虚构会诊严重，漏跟踪重要</w:t>
            </w:r>
          </w:p>
        </w:tc>
      </w:tr>
      <w:tr>
        <w:trPr/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危急值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收到复读通知处理复查闭环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已知危险遗漏或虚构处理严重</w:t>
            </w:r>
          </w:p>
        </w:tc>
      </w:tr>
      <w:tr>
        <w:trPr/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抢救时间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分钟事件、执行剂量参数与补记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编造抢救或关键时间冲突严重</w:t>
            </w:r>
          </w:p>
        </w:tc>
      </w:tr>
      <w:tr>
        <w:trPr/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三级查房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真实人职称、实际意见、层级决策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虚构查房或签名严重</w:t>
            </w:r>
          </w:p>
        </w:tc>
      </w:tr>
      <w:tr>
        <w:trPr/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纵向连续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疾病、药物、装置与功能轨迹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停药续写或出院后混写重要或严重</w:t>
            </w:r>
          </w:p>
        </w:tc>
      </w:tr>
      <w:tr>
        <w:trPr/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出院及医嘱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核定药单、功能吞咽、照护和去向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严重无法执行或矛盾阻断</w:t>
            </w:r>
          </w:p>
        </w:tc>
      </w:tr>
      <w:tr>
        <w:trPr/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复制污染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跨人、跨日、病种和非医学过渡语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错人严重；套话一般或重要</w:t>
            </w:r>
          </w:p>
        </w:tc>
      </w:tr>
      <w:tr>
        <w:trPr/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代码框格式</w:t>
            </w:r>
          </w:p>
        </w:tc>
        <w:tc>
          <w:tcPr>
            <w:tcW w:type="dxa" w:w="476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日期标题外置，正文单段，固定栏目例外</w:t>
            </w:r>
          </w:p>
        </w:tc>
        <w:tc>
          <w:tcPr>
            <w:tcW w:type="dxa" w:w="32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一般格式可自动修，造成事件丢时则重要</w:t>
            </w:r>
          </w:p>
        </w:tc>
      </w:tr>
    </w:tbl>
    <w:p/>
    <w:p>
      <w:bookmarkStart w:id="4" w:name="s4"/>
      <w:pPr>
        <w:pStyle w:val="Heading1"/>
      </w:pPr>
      <w:r>
        <w:t>4 三级缺陷及处理矩阵</w:t>
      </w:r>
      <w:bookmarkEnd w:id="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4365"/>
        <w:gridCol w:w="3969"/>
      </w:tblGrid>
      <w:tr>
        <w:trPr>
          <w:tblHeader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6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级别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6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典型情形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6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输出及整改</w:t>
            </w:r>
          </w:p>
        </w:tc>
      </w:tr>
      <w:tr>
        <w:trPr/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严重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身份错配、关键诊疗事实冲突、严重药物矛盾、虚构抢救签名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BLOCKED_CONFLICT；仅框外核实清单，不给可能误用的无标记正式净稿</w:t>
            </w:r>
          </w:p>
        </w:tc>
      </w:tr>
      <w:tr>
        <w:trPr/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重要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关键资料缺失、CGA或分型无据、会诊待落实、时间不明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可能影响安全则阻断；仅非关键内容可删去，不能补造</w:t>
            </w:r>
          </w:p>
        </w:tc>
      </w:tr>
      <w:tr>
        <w:trPr/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一般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标点术语、重复句、日期标题位置、正文分段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可自动修表达格式，再完整复审；不得因此改事实</w:t>
            </w:r>
          </w:p>
        </w:tc>
      </w:tr>
    </w:tbl>
    <w:p/>
    <w:p>
      <w:r>
        <w:t>事实冲突提示模板：“需核实：项目【】。来源甲在【时点】记录【】；来源乙在【时点】记录【】。该差异影响【身份、诊断或治疗】，现暂停相关正式净稿，待责任医师确认有效版本。”该提示在代码框外；若其他不受影响内容另行输出，必须标明适用范围，不能被误当完整净稿。</w:t>
      </w:r>
    </w:p>
    <w:p>
      <w:bookmarkStart w:id="5" w:name="s5"/>
      <w:pPr>
        <w:pStyle w:val="Heading1"/>
      </w:pPr>
      <w:r>
        <w:t>5 诊断修正与纵向一致性</w:t>
      </w:r>
      <w:bookmarkEnd w:id="5"/>
    </w:p>
    <w:p>
      <w:r>
        <w:t>允许随证据改变诊断：保留旧诊断确定度、当时依据、新证据和修正者。不能为避免“前后不一致”而删掉真实新发现或回改历史。检查结果采样早、回报晚时，过去时点不可使用后来回报。停用后保留暴露史但从当前在用视图移除；恢复需真实新事件。</w:t>
      </w:r>
    </w:p>
    <w:p>
      <w:bookmarkStart w:id="6" w:name="s6"/>
      <w:pPr>
        <w:pStyle w:val="Heading1"/>
      </w:pPr>
      <w:r>
        <w:t>6 医学文书代码框输出最高规则</w:t>
      </w:r>
      <w:bookmarkEnd w:id="6"/>
    </w:p>
    <w:p>
      <w:r>
        <w:t>1．今后生成所有老年内科医学文书时，必须使用Markdown代码框输出可复制的正文。</w:t>
      </w:r>
    </w:p>
    <w:p>
      <w:r>
        <w:t>2．日期和时间必须位于代码框之外。</w:t>
      </w:r>
    </w:p>
    <w:p>
      <w:r>
        <w:t>3．某某主治医师查房记录、某某副主任医师查房记录、某某主任医师查房记录等标题必须位于代码框之外。</w:t>
      </w:r>
    </w:p>
    <w:p>
      <w:r>
        <w:t>4．代码框内只放实际医学文书正文。</w:t>
      </w:r>
    </w:p>
    <w:p>
      <w:r>
        <w:t>5．不得把日期时间再次写入代码框。</w:t>
      </w:r>
    </w:p>
    <w:p>
      <w:r>
        <w:t>6．不得把文书标题再次写入代码框。</w:t>
      </w:r>
    </w:p>
    <w:p>
      <w:r>
        <w:t>7．不得写医学文书正文等无关标签。</w:t>
      </w:r>
    </w:p>
    <w:p>
      <w:r>
        <w:t>8．不得在代码框内加入AI解释、提醒、前言或结语。</w:t>
      </w:r>
    </w:p>
    <w:p>
      <w:r>
        <w:t>9．日常病程和各级医师查房正文必须保持连续一整段。</w:t>
      </w:r>
    </w:p>
    <w:p>
      <w:r>
        <w:t>10．正文不分条、不留空行、不添加多余空格。</w:t>
      </w:r>
    </w:p>
    <w:p>
      <w:r>
        <w:t>11．生成内容应能够直接复制到医院电子病历正文栏。</w:t>
      </w:r>
    </w:p>
    <w:p>
      <w:r>
        <w:t>12．入院、出院等具有固定栏目结构要求的文书可以保留必要栏目，但不得加入多余解释。</w:t>
      </w:r>
    </w:p>
    <w:p>
      <w:r>
        <w:t>13．所有模块必须遵守这一输出格式。</w:t>
      </w:r>
    </w:p>
    <w:p>
      <w:r>
        <w:t>14．以上格式为系统最高优先级强制规则，不得被其他模块覆盖。占位符仅供模板编辑，不能进入正式净稿。</w:t>
      </w:r>
    </w:p>
    <w:p>
      <w:r>
        <w:t>15．禁止在正式病历使用“根据昨天查房记录”“结合前一天的查体情况”“根据用户上传的图片”“从报告图片中可以看到”等来源交代或过渡语。</w:t>
      </w:r>
    </w:p>
    <w:p>
      <w:r>
        <w:t>16．当存在严重事实冲突时，暂停正式净稿生成，在代码框外单列待核实事项；不得将问题伪装成已确认医学事实。</w:t>
      </w:r>
    </w:p>
    <w:p>
      <w:r>
        <w:t>抢救事件采取“事件日期时间在框外、该事件正文在框内”的逐事件输出；电子病历须把事件时间一并录入对应时间字段，不能仅粘贴无时间正文。报告保真副本是来源材料，采用附件或引文保留全部原文；转换为医学文书时把报告日期放在代码框外，不删改保真副本。</w:t>
      </w:r>
    </w:p>
    <w:p>
      <w:r>
        <w:t>以下为格式结构示例，所有槽位均待真实资料替换，不代表已经发生的查房。</w:t>
      </w:r>
    </w:p>
    <w:p>
      <w:pPr>
        <w:keepNext/>
      </w:pPr>
      <w:r>
        <w:t>2026年10月25日 09:00 某某主任医师查房记录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某某主任医师查房，患者诉【当日真实症状】。今日查体：【当日实际查体结果】。辅助检查：【实际检查结果及相应分析】。某某主任医师分析：【结合患者真实资料形成的诊断分析、危险评估及相关意见】。目前【实际治疗状态或经责任医师确认的诊疗计划】，继续关注【具体观察指标】。</w:t>
      </w:r>
    </w:p>
    <w:p>
      <w:pPr>
        <w:pStyle w:val="Code"/>
      </w:pPr>
      <w:r>
        <w:t>```</w:t>
      </w:r>
    </w:p>
    <w:p>
      <w:bookmarkStart w:id="7" w:name="s7"/>
      <w:pPr>
        <w:pStyle w:val="Heading1"/>
      </w:pPr>
      <w:r>
        <w:t>7 14项模拟临床与规则验收结果</w:t>
      </w:r>
      <w:bookmarkEnd w:id="7"/>
    </w:p>
    <w:p>
      <w:r>
        <w:t>测试日期：2026年10月25日。仅使用虚构资料。测试方式为确定性规则执行、固定模拟输入输出核对及负例拦截；这是规则样例和文书结构的验收，不是部署后模型全流程实测、真实患者临床验证或医院上线认证。未测试电子病历接口、自动OCR准确率、长期数据库或真实模型每次遵从概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6236"/>
        <w:gridCol w:w="1247"/>
        <w:gridCol w:w="1417"/>
      </w:tblGrid>
      <w:tr>
        <w:trPr>
          <w:tblHeader/>
        </w:trPr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6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6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/>
                <w:sz w:val="18"/>
              </w:rPr>
              <w:t>测试名称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6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结果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DCE6EE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/>
                <w:sz w:val="18"/>
              </w:rPr>
              <w:t>验证点数</w:t>
            </w:r>
          </w:p>
        </w:tc>
      </w:tr>
      <w:tr>
        <w:trPr/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冠心病合并心衰首次病程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</w:tr>
      <w:tr>
        <w:trPr/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肺炎合并慢阻肺主治查房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</w:tr>
      <w:tr>
        <w:trPr/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脑梗死合并吞咽障碍主任查房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</w:tr>
      <w:tr>
        <w:trPr/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糖尿病合并肾功能不全用药分析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</w:tr>
      <w:tr>
        <w:trPr/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感染后谵妄病程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</w:tr>
      <w:tr>
        <w:trPr/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同病例三级查房差异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4</w:t>
            </w:r>
          </w:p>
        </w:tc>
      </w:tr>
      <w:tr>
        <w:trPr/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衰弱营养肌少综合评估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</w:tr>
      <w:tr>
        <w:trPr/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病情恶化抢救记录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4</w:t>
            </w:r>
          </w:p>
        </w:tc>
      </w:tr>
      <w:tr>
        <w:trPr/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多重用药治疗调整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</w:tr>
      <w:tr>
        <w:trPr/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失能老人出院和照护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</w:tr>
      <w:tr>
        <w:trPr/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多日病程时间轴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</w:tr>
      <w:tr>
        <w:trPr/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两名患者资料混入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</w:tr>
      <w:tr>
        <w:trPr/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量表变量不足拒绝编分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</w:tr>
      <w:tr>
        <w:trPr/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</w:pPr>
            <w:r>
              <w:rPr>
                <w:b w:val="0"/>
                <w:sz w:val="18"/>
              </w:rPr>
              <w:t>日常与三级查房代码框格式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通过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5F7F9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64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</w:tr>
    </w:tbl>
    <w:p/>
    <w:p>
      <w:pPr>
        <w:pStyle w:val="Heading2"/>
      </w:pPr>
      <w:r>
        <w:t>1 冠心病合并心衰首次病程</w:t>
      </w:r>
    </w:p>
    <w:p>
      <w:r>
        <w:rPr>
          <w:b/>
        </w:rPr>
        <w:t xml:space="preserve">模拟输入  </w:t>
      </w:r>
      <w:r>
        <w:t>SIM01；上述病史、体征及LVEF均为模拟已确认事实；没有肌钙蛋白和量表数据。</w:t>
      </w:r>
    </w:p>
    <w:p>
      <w:r>
        <w:rPr>
          <w:b/>
        </w:rPr>
        <w:t xml:space="preserve">预期  </w:t>
      </w:r>
      <w:r>
        <w:t>路由02和101，诊断有据，不补检查或评分。</w:t>
      </w:r>
    </w:p>
    <w:p>
      <w:r>
        <w:rPr>
          <w:b/>
        </w:rPr>
        <w:t xml:space="preserve">执行结果  </w:t>
      </w:r>
      <w:r>
        <w:t>通过；调用101及02；格式合规；不补肌钙蛋白与评分。</w:t>
      </w:r>
    </w:p>
    <w:p>
      <w:r>
        <w:t>实际样例输出或状态结果：</w:t>
      </w:r>
    </w:p>
    <w:p>
      <w:pPr>
        <w:keepNext/>
      </w:pPr>
      <w:r>
        <w:t>2026年10月25日 09:00 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病例特点：患者79岁，有既往冠心病及心衰确诊资料，本次活动后气促加重，查体双下肢水肿，已回报超声LVEF为35%。</w:t>
      </w:r>
    </w:p>
    <w:p>
      <w:pPr>
        <w:pStyle w:val="Code"/>
      </w:pPr>
      <w:r>
        <w:t>初步诊断及依据：冠心病、心力衰竭，结合本次充血表现考虑心衰加重。</w:t>
      </w:r>
    </w:p>
    <w:p>
      <w:pPr>
        <w:pStyle w:val="Code"/>
      </w:pPr>
      <w:r>
        <w:t>鉴别诊断：肺部感染等仍需结合相应临床与检查鉴别。</w:t>
      </w:r>
    </w:p>
    <w:p>
      <w:pPr>
        <w:pStyle w:val="Code"/>
        <w:keepNext/>
      </w:pPr>
      <w:r>
        <w:t>诊疗计划：责任医师已确认核对当前药物、评估容量并监测血压、尿量、肾功能和电解质；待完善当次老年综合评估。</w:t>
      </w:r>
    </w:p>
    <w:p>
      <w:pPr>
        <w:pStyle w:val="Code"/>
      </w:pPr>
      <w:r>
        <w:t>```</w:t>
      </w:r>
    </w:p>
    <w:p>
      <w:r>
        <w:t>专项复核：事实未补造；诊断不擅自升级；时间不倒写；计划与执行分开；未套用无关病种文本；医学正文格式按文书类型检查。涉及缺资料的样例通过，是因为正确保留或阻断，而非强行给出净稿。</w:t>
      </w:r>
    </w:p>
    <w:p>
      <w:pPr>
        <w:pStyle w:val="Heading2"/>
      </w:pPr>
      <w:r>
        <w:t>2 肺炎合并慢阻肺主治查房</w:t>
      </w:r>
    </w:p>
    <w:p>
      <w:r>
        <w:rPr>
          <w:b/>
        </w:rPr>
        <w:t xml:space="preserve">模拟输入  </w:t>
      </w:r>
      <w:r>
        <w:t>SIM02；当日症状、听诊、既往肺功能及主治意见均已作为模拟输入提供。</w:t>
      </w:r>
    </w:p>
    <w:p>
      <w:r>
        <w:rPr>
          <w:b/>
        </w:rPr>
        <w:t xml:space="preserve">预期  </w:t>
      </w:r>
      <w:r>
        <w:t>02 08 102；单段，真实意见，不补血气。</w:t>
      </w:r>
    </w:p>
    <w:p>
      <w:r>
        <w:rPr>
          <w:b/>
        </w:rPr>
        <w:t xml:space="preserve">执行结果  </w:t>
      </w:r>
      <w:r>
        <w:t>通过；路由正确；一段且无占位；无虚构PaCO2。</w:t>
      </w:r>
    </w:p>
    <w:p>
      <w:r>
        <w:t>实际样例输出或状态结果：</w:t>
      </w:r>
    </w:p>
    <w:p>
      <w:pPr>
        <w:keepNext/>
      </w:pPr>
      <w:r>
        <w:t>2026年10月25日 09:10 模拟甲主治医师查房记录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模拟甲主治医师查房，患者咳痰、气促较入院减轻，查体双肺可闻及散在干啰音。胸部影像已提示肺炎，既往肺功能资料支持慢阻肺。模拟甲主治医师分析：本次肺炎与慢阻肺共同影响呼吸，需核对抗感染及吸入治疗实际执行，复评氧合、呼吸功和感染变化，关注误吸及药物耐受。</w:t>
      </w:r>
    </w:p>
    <w:p>
      <w:pPr>
        <w:pStyle w:val="Code"/>
      </w:pPr>
      <w:r>
        <w:t>```</w:t>
      </w:r>
    </w:p>
    <w:p>
      <w:r>
        <w:t>专项复核：事实未补造；诊断不擅自升级；时间不倒写；计划与执行分开；未套用无关病种文本；医学正文格式按文书类型检查。涉及缺资料的样例通过，是因为正确保留或阻断，而非强行给出净稿。</w:t>
      </w:r>
    </w:p>
    <w:p>
      <w:pPr>
        <w:pStyle w:val="Heading2"/>
      </w:pPr>
      <w:r>
        <w:t>3 脑梗死合并吞咽障碍主任查房</w:t>
      </w:r>
    </w:p>
    <w:p>
      <w:r>
        <w:rPr>
          <w:b/>
        </w:rPr>
        <w:t xml:space="preserve">模拟输入  </w:t>
      </w:r>
      <w:r>
        <w:t>SIM03；脑梗死已确认、筛查未通过、主任上述意见为实际模拟输入，未提供NIHSS。</w:t>
      </w:r>
    </w:p>
    <w:p>
      <w:r>
        <w:rPr>
          <w:b/>
        </w:rPr>
        <w:t xml:space="preserve">预期  </w:t>
      </w:r>
      <w:r>
        <w:t>103 107 03 08；不编量表和喂养已完成。</w:t>
      </w:r>
    </w:p>
    <w:p>
      <w:r>
        <w:rPr>
          <w:b/>
        </w:rPr>
        <w:t xml:space="preserve">执行结果  </w:t>
      </w:r>
      <w:r>
        <w:t>通过；联合路由；单段格式；无虚构评分。</w:t>
      </w:r>
    </w:p>
    <w:p>
      <w:r>
        <w:t>实际样例输出或状态结果：</w:t>
      </w:r>
    </w:p>
    <w:p>
      <w:pPr>
        <w:keepNext/>
      </w:pPr>
      <w:r>
        <w:t>2026年10月25日 09:20 模拟乙主任医师查房记录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模拟乙主任医师查房，患者脑梗死后吞咽筛查未通过，进食通路待专科评估明确。模拟乙主任医师分析：当前应优先防范误吸并保障可行营养，同时结合卒中病因与出血风险确认二级预防；应明确病前功能、恢复潜力和患者目标，联合吞咽、营养及康复团队评估照护路径，不能将症状稳定等同恢复安全口服。</w:t>
      </w:r>
    </w:p>
    <w:p>
      <w:pPr>
        <w:pStyle w:val="Code"/>
      </w:pPr>
      <w:r>
        <w:t>```</w:t>
      </w:r>
    </w:p>
    <w:p>
      <w:r>
        <w:t>专项复核：事实未补造；诊断不擅自升级；时间不倒写；计划与执行分开；未套用无关病种文本；医学正文格式按文书类型检查。涉及缺资料的样例通过，是因为正确保留或阻断，而非强行给出净稿。</w:t>
      </w:r>
    </w:p>
    <w:p>
      <w:pPr>
        <w:pStyle w:val="Heading2"/>
      </w:pPr>
      <w:r>
        <w:t>4 糖尿病合并肾功能不全用药分析</w:t>
      </w:r>
    </w:p>
    <w:p>
      <w:r>
        <w:rPr>
          <w:b/>
        </w:rPr>
        <w:t xml:space="preserve">模拟输入  </w:t>
      </w:r>
      <w:r>
        <w:t>SIM04；81岁，摄入下降、肾功能异常；药名剂量体重不全。</w:t>
      </w:r>
    </w:p>
    <w:p>
      <w:r>
        <w:rPr>
          <w:b/>
        </w:rPr>
        <w:t xml:space="preserve">预期  </w:t>
      </w:r>
      <w:r>
        <w:t>07 104 105；仅独立建议，无新医嘱。</w:t>
      </w:r>
    </w:p>
    <w:p>
      <w:r>
        <w:rPr>
          <w:b/>
        </w:rPr>
        <w:t xml:space="preserve">执行结果  </w:t>
      </w:r>
      <w:r>
        <w:t>通过；药物与专病联合；无精确减量；明确非执行。</w:t>
      </w:r>
    </w:p>
    <w:p>
      <w:r>
        <w:t>实际样例输出或状态结果：</w:t>
      </w:r>
    </w:p>
    <w:p>
      <w:pPr>
        <w:pStyle w:val="Code"/>
      </w:pPr>
      <w:r>
        <w:t>需核对全部实际降糖药、剂量、摄入及肾功能指标与趋势；肾功能异常可能增加部分药物蓄积与低血糖风险。当前缺体重和具体剂量，不计算CrCl、不提出精确减量。建议由责任医师及药师确认个体目标和调整方案，确认前不改变医嘱状态。</w:t>
      </w:r>
    </w:p>
    <w:p>
      <w:r>
        <w:t>专项复核：事实未补造；诊断不擅自升级；时间不倒写；计划与执行分开；未套用无关病种文本；医学正文格式按文书类型检查。涉及缺资料的样例通过，是因为正确保留或阻断，而非强行给出净稿。</w:t>
      </w:r>
    </w:p>
    <w:p>
      <w:pPr>
        <w:pStyle w:val="Heading2"/>
      </w:pPr>
      <w:r>
        <w:t>5 感染后谵妄病程</w:t>
      </w:r>
    </w:p>
    <w:p>
      <w:r>
        <w:rPr>
          <w:b/>
        </w:rPr>
        <w:t xml:space="preserve">模拟输入  </w:t>
      </w:r>
      <w:r>
        <w:t>SIM05；急性波动及注意障碍已知，4AT未完成，慢性认知未知。</w:t>
      </w:r>
    </w:p>
    <w:p>
      <w:r>
        <w:rPr>
          <w:b/>
        </w:rPr>
        <w:t xml:space="preserve">预期  </w:t>
      </w:r>
      <w:r>
        <w:t>06 03 103 106；不补痴呆或分数。</w:t>
      </w:r>
    </w:p>
    <w:p>
      <w:r>
        <w:rPr>
          <w:b/>
        </w:rPr>
        <w:t xml:space="preserve">执行结果  </w:t>
      </w:r>
      <w:r>
        <w:t>通过；急性触发；格式；诊断不升级。</w:t>
      </w:r>
    </w:p>
    <w:p>
      <w:r>
        <w:t>实际样例输出或状态结果：</w:t>
      </w:r>
    </w:p>
    <w:p>
      <w:pPr>
        <w:keepNext/>
      </w:pPr>
      <w:r>
        <w:t>2026年10月25日 13:00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感染后新发注意力不集中并有昼夜波动，家属提供此前无此急性表现。当前考虑谵妄，需继续评估氧合、血糖、电解质、疼痛、尿潴留及药物等诱因，结合实际感染证据处理病因；尚未完成4AT，不生成具体分数，既往是否存在慢性认知障碍需另行核实。</w:t>
      </w:r>
    </w:p>
    <w:p>
      <w:pPr>
        <w:pStyle w:val="Code"/>
      </w:pPr>
      <w:r>
        <w:t>```</w:t>
      </w:r>
    </w:p>
    <w:p>
      <w:r>
        <w:t>专项复核：事实未补造；诊断不擅自升级；时间不倒写；计划与执行分开；未套用无关病种文本；医学正文格式按文书类型检查。涉及缺资料的样例通过，是因为正确保留或阻断，而非强行给出净稿。</w:t>
      </w:r>
    </w:p>
    <w:p>
      <w:pPr>
        <w:pStyle w:val="Heading2"/>
      </w:pPr>
      <w:r>
        <w:t>6 同病例三级查房差异</w:t>
      </w:r>
    </w:p>
    <w:p>
      <w:r>
        <w:rPr>
          <w:b/>
        </w:rPr>
        <w:t xml:space="preserve">模拟输入  </w:t>
      </w:r>
      <w:r>
        <w:t>SIM06；心衰及肾功能异常、功能下降；三层上述意见作为模拟资料。</w:t>
      </w:r>
    </w:p>
    <w:p>
      <w:r>
        <w:rPr>
          <w:b/>
        </w:rPr>
        <w:t xml:space="preserve">预期  </w:t>
      </w:r>
      <w:r>
        <w:t>三层分别体现证据执行、共病优化、战略目标。</w:t>
      </w:r>
    </w:p>
    <w:p>
      <w:r>
        <w:rPr>
          <w:b/>
        </w:rPr>
        <w:t xml:space="preserve">执行结果  </w:t>
      </w:r>
      <w:r>
        <w:t>通过；三种内容不同；主治含执行；副主任含心肾与协作；主任含患者目标及取舍。</w:t>
      </w:r>
    </w:p>
    <w:p>
      <w:r>
        <w:t>实际样例输出或状态结果：</w:t>
      </w:r>
    </w:p>
    <w:p>
      <w:pPr>
        <w:pStyle w:val="Code"/>
      </w:pPr>
      <w:r>
        <w:t>主治重点核对心衰依据、肺炎鉴别和当前药物执行，确定近期血压尿量及电解质复评。</w:t>
        <w:br/>
        <w:t>副主任综合心肾相互影响和实际功能下降，比较容量管理与肾风险，安排肾内及药师协作。</w:t>
        <w:br/>
        <w:t>主任明确当前充血与灌注的优先次序，结合患者恢复活动的目标比较治疗强度及负担，设整体获益复评界限。</w:t>
      </w:r>
    </w:p>
    <w:p>
      <w:r>
        <w:t>专项复核：事实未补造；诊断不擅自升级；时间不倒写；计划与执行分开；未套用无关病种文本；医学正文格式按文书类型检查。涉及缺资料的样例通过，是因为正确保留或阻断，而非强行给出净稿。</w:t>
      </w:r>
    </w:p>
    <w:p>
      <w:pPr>
        <w:pStyle w:val="Heading2"/>
      </w:pPr>
      <w:r>
        <w:t>7 衰弱营养肌少综合评估</w:t>
      </w:r>
    </w:p>
    <w:p>
      <w:r>
        <w:rPr>
          <w:b/>
        </w:rPr>
        <w:t xml:space="preserve">模拟输入  </w:t>
      </w:r>
      <w:r>
        <w:t>SIM07；FRAIL和MNA-SF逐项实际问答、体重及BMI均已提供；肌量未测。</w:t>
      </w:r>
    </w:p>
    <w:p>
      <w:r>
        <w:rPr>
          <w:b/>
        </w:rPr>
        <w:t xml:space="preserve">预期  </w:t>
      </w:r>
      <w:r>
        <w:t>03 107；完整变量才能汇总，筛查不自动升级为营养不良或肌少症。</w:t>
      </w:r>
    </w:p>
    <w:p>
      <w:r>
        <w:rPr>
          <w:b/>
        </w:rPr>
        <w:t xml:space="preserve">执行结果  </w:t>
      </w:r>
      <w:r>
        <w:t>通过；路由；FRAIL完整项汇总正确；MNA-SF完整项汇总正确；不升级营养诊断；缺测量边界。</w:t>
      </w:r>
    </w:p>
    <w:p>
      <w:r>
        <w:t>实际样例输出或状态结果：</w:t>
      </w:r>
    </w:p>
    <w:p>
      <w:pPr>
        <w:pStyle w:val="Code"/>
      </w:pPr>
      <w:r>
        <w:t>已完成FRAIL五项实际评估：疲乏、上楼困难、步行、疾病数量及体重变化对应项目分为1、1、0、0、1，总分3，提示衰弱筛查阳性。MNA-SF六项实际评估依次为摄入中度减少、体重下降1至3 kg、可外出、近期急性病、无相应神经精神问题、BMI为21.5 kg/m²，对应项目分1、1、2、0、2、2，总分8，提示营养风险；不据此单独确诊临床营养不良。当前缺肌量测量，不能确诊肌少症，拟补充客观测量并结合可逆原因、营养及活动能力综合评估。</w:t>
      </w:r>
    </w:p>
    <w:p>
      <w:r>
        <w:t>专项复核：事实未补造；诊断不擅自升级；时间不倒写；计划与执行分开；未套用无关病种文本；医学正文格式按文书类型检查。涉及缺资料的样例通过，是因为正确保留或阻断，而非强行给出净稿。</w:t>
      </w:r>
    </w:p>
    <w:p>
      <w:pPr>
        <w:pStyle w:val="Heading2"/>
      </w:pPr>
      <w:r>
        <w:t>8 病情恶化抢救记录</w:t>
      </w:r>
    </w:p>
    <w:p>
      <w:r>
        <w:rPr>
          <w:b/>
        </w:rPr>
        <w:t xml:space="preserve">模拟输入  </w:t>
      </w:r>
      <w:r>
        <w:t>SIM08；三事件及分钟已给，未给药物能量或接收完成。</w:t>
      </w:r>
    </w:p>
    <w:p>
      <w:r>
        <w:rPr>
          <w:b/>
        </w:rPr>
        <w:t xml:space="preserve">预期  </w:t>
      </w:r>
      <w:r>
        <w:t>按实际分钟外置时间；不补药物剂量或已转入。</w:t>
      </w:r>
    </w:p>
    <w:p>
      <w:r>
        <w:rPr>
          <w:b/>
        </w:rPr>
        <w:t xml:space="preserve">执行结果  </w:t>
      </w:r>
      <w:r>
        <w:t>通过；全部事件格式；三事件保留；时间顺序；不补肾上腺素。</w:t>
      </w:r>
    </w:p>
    <w:p>
      <w:r>
        <w:t>实际样例输出或状态结果：</w:t>
      </w:r>
    </w:p>
    <w:p>
      <w:pPr>
        <w:keepNext/>
      </w:pPr>
      <w:r>
        <w:t>2026年10月25日 14:01 抢救记录 识别及启动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患者无反应、无正常呼吸，未触及颈动脉搏动，立即呼救并开始胸外按压。</w:t>
      </w:r>
    </w:p>
    <w:p>
      <w:pPr>
        <w:pStyle w:val="Code"/>
      </w:pPr>
      <w:r>
        <w:t>```</w:t>
      </w:r>
    </w:p>
    <w:p>
      <w:pPr>
        <w:keepNext/>
      </w:pPr>
      <w:r>
        <w:t>2026年10月25日 14:03 抢救记录 节律及处理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监护示心室颤动，已按执行记录完成除颤并立即恢复胸外按压。</w:t>
      </w:r>
    </w:p>
    <w:p>
      <w:pPr>
        <w:pStyle w:val="Code"/>
      </w:pPr>
      <w:r>
        <w:t>```</w:t>
      </w:r>
    </w:p>
    <w:p>
      <w:pPr>
        <w:keepNext/>
      </w:pPr>
      <w:r>
        <w:t>2026年10月25日 14:05 抢救记录 复评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复评可触及颈动脉搏动并见有组织心律，继续复苏后监测，由重症团队评估接收。</w:t>
      </w:r>
    </w:p>
    <w:p>
      <w:pPr>
        <w:pStyle w:val="Code"/>
      </w:pPr>
      <w:r>
        <w:t>```</w:t>
      </w:r>
    </w:p>
    <w:p>
      <w:r>
        <w:t>专项复核：事实未补造；诊断不擅自升级；时间不倒写；计划与执行分开；未套用无关病种文本；医学正文格式按文书类型检查。涉及缺资料的样例通过，是因为正确保留或阻断，而非强行给出净稿。</w:t>
      </w:r>
    </w:p>
    <w:p>
      <w:pPr>
        <w:pStyle w:val="Heading2"/>
      </w:pPr>
      <w:r>
        <w:t>9 多重用药治疗调整</w:t>
      </w:r>
    </w:p>
    <w:p>
      <w:r>
        <w:rPr>
          <w:b/>
        </w:rPr>
        <w:t xml:space="preserve">模拟输入  </w:t>
      </w:r>
      <w:r>
        <w:t>SIM09；药A先用后停，有真实模拟医嘱和执行。</w:t>
      </w:r>
    </w:p>
    <w:p>
      <w:r>
        <w:rPr>
          <w:b/>
        </w:rPr>
        <w:t xml:space="preserve">预期  </w:t>
      </w:r>
      <w:r>
        <w:t>停药后不是在用，建议不变为执行。</w:t>
      </w:r>
    </w:p>
    <w:p>
      <w:r>
        <w:rPr>
          <w:b/>
        </w:rPr>
        <w:t xml:space="preserve">执行结果  </w:t>
      </w:r>
      <w:r>
        <w:t>通过；停用状态；先前状态保留；格式。</w:t>
      </w:r>
    </w:p>
    <w:p>
      <w:r>
        <w:t>实际样例输出或状态结果：</w:t>
      </w:r>
    </w:p>
    <w:p>
      <w:pPr>
        <w:keepNext/>
      </w:pPr>
      <w:r>
        <w:t>2026年10月25日 09:30 治疗调整记录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患者实际药物重整后，经责任医师确认已停用模拟药A，停药执行已核对，保留既往暴露；尚未确认的替代方案列为待评估，继续按实际计划监测症状及相关安全指标。</w:t>
      </w:r>
    </w:p>
    <w:p>
      <w:pPr>
        <w:pStyle w:val="Code"/>
      </w:pPr>
      <w:r>
        <w:t>```</w:t>
      </w:r>
    </w:p>
    <w:p>
      <w:r>
        <w:t>专项复核：事实未补造；诊断不擅自升级；时间不倒写；计划与执行分开；未套用无关病种文本；医学正文格式按文书类型检查。涉及缺资料的样例通过，是因为正确保留或阻断，而非强行给出净稿。</w:t>
      </w:r>
    </w:p>
    <w:p>
      <w:pPr>
        <w:pStyle w:val="Heading2"/>
      </w:pPr>
      <w:r>
        <w:t>10 失能老人出院和照护</w:t>
      </w:r>
    </w:p>
    <w:p>
      <w:r>
        <w:rPr>
          <w:b/>
        </w:rPr>
        <w:t xml:space="preserve">模拟输入  </w:t>
      </w:r>
      <w:r>
        <w:t>SIM10；需协助、培训完成和社区承接均明确，药单另核。</w:t>
      </w:r>
    </w:p>
    <w:p>
      <w:r>
        <w:rPr>
          <w:b/>
        </w:rPr>
        <w:t xml:space="preserve">预期  </w:t>
      </w:r>
      <w:r>
        <w:t>09 108与相应专病；不写生活自理。</w:t>
      </w:r>
    </w:p>
    <w:p>
      <w:r>
        <w:rPr>
          <w:b/>
        </w:rPr>
        <w:t xml:space="preserve">执行结果  </w:t>
      </w:r>
      <w:r>
        <w:t>通过；路由；未伪自理；固定栏目格式。</w:t>
      </w:r>
    </w:p>
    <w:p>
      <w:r>
        <w:t>实际样例输出或状态结果：</w:t>
      </w:r>
    </w:p>
    <w:p>
      <w:pPr>
        <w:keepNext/>
      </w:pPr>
      <w:r>
        <w:t>2026年10月25日 15:00 出院记录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出院诊断：脑梗死后功能障碍。</w:t>
      </w:r>
    </w:p>
    <w:p>
      <w:pPr>
        <w:pStyle w:val="Code"/>
      </w:pPr>
      <w:r>
        <w:t>出院情况：需协助转移和进食，吞咽照护按已确认专科方案；主要照护者已完成模拟输入明确的转移与喂养培训。</w:t>
      </w:r>
    </w:p>
    <w:p>
      <w:pPr>
        <w:pStyle w:val="Code"/>
        <w:keepNext/>
      </w:pPr>
      <w:r>
        <w:t>出院医嘱：按核定药单执行，由已确认的社区团队承接；继续落实辅助转移、安全喂养及皮肤照护，按责任医师确认的计划复诊，出现窒息、呼吸困难或新发神经症状及时求助。</w:t>
      </w:r>
    </w:p>
    <w:p>
      <w:pPr>
        <w:pStyle w:val="Code"/>
      </w:pPr>
      <w:r>
        <w:t>```</w:t>
      </w:r>
    </w:p>
    <w:p>
      <w:r>
        <w:t>专项复核：事实未补造；诊断不擅自升级；时间不倒写；计划与执行分开；未套用无关病种文本；医学正文格式按文书类型检查。涉及缺资料的样例通过，是因为正确保留或阻断，而非强行给出净稿。</w:t>
      </w:r>
    </w:p>
    <w:p>
      <w:pPr>
        <w:pStyle w:val="Heading2"/>
      </w:pPr>
      <w:r>
        <w:t>11 多日病程时间轴</w:t>
      </w:r>
    </w:p>
    <w:p>
      <w:r>
        <w:rPr>
          <w:b/>
        </w:rPr>
        <w:t xml:space="preserve">模拟输入  </w:t>
      </w:r>
      <w:r>
        <w:t>SIM11；旧血压仅有前日值，培养采样前日但次日14时回报。</w:t>
      </w:r>
    </w:p>
    <w:p>
      <w:r>
        <w:rPr>
          <w:b/>
        </w:rPr>
        <w:t xml:space="preserve">预期  </w:t>
      </w:r>
      <w:r>
        <w:t>次日09时不可用培养；血压保留原测量时点。</w:t>
      </w:r>
    </w:p>
    <w:p>
      <w:r>
        <w:rPr>
          <w:b/>
        </w:rPr>
        <w:t xml:space="preserve">执行结果  </w:t>
      </w:r>
      <w:r>
        <w:t>通过；未来结果隔离；回报后可用；旧血压时间未改。</w:t>
      </w:r>
    </w:p>
    <w:p>
      <w:r>
        <w:t>实际样例输出或状态结果：</w:t>
      </w:r>
    </w:p>
    <w:p>
      <w:pPr>
        <w:pStyle w:val="Code"/>
      </w:pPr>
      <w:r>
        <w:t>{"before": [{"patient": "SIM11", "admission": "A1", "event_time": "2026-10-24T08:00", "available_time": "2026-10-24T08:00", "kind": "BP", "value": {"value": "150/80"}, "source": "当日测量"}], "after": [{"patient": "SIM11", "admission": "A1", "event_time": "2026-10-24T08:00", "available_time": "2026-10-24T08:00", "kind": "BP", "value": {"value": "150/80"}, "source": "当日测量"}, {"patient": "SIM11", "admission": "A1", "event_time": "2026-10-24T09:00", "available_time": "2026-10-25T14:00", "kind": "culture", "value": {"value": "模拟菌阳性"}, "source": "正式报告"}]}</w:t>
      </w:r>
    </w:p>
    <w:p>
      <w:r>
        <w:t>专项复核：事实未补造；诊断不擅自升级；时间不倒写；计划与执行分开；未套用无关病种文本；医学正文格式按文书类型检查。涉及缺资料的样例通过，是因为正确保留或阻断，而非强行给出净稿。</w:t>
      </w:r>
    </w:p>
    <w:p>
      <w:pPr>
        <w:pStyle w:val="Heading2"/>
      </w:pPr>
      <w:r>
        <w:t>12 两名患者资料混入</w:t>
      </w:r>
    </w:p>
    <w:p>
      <w:r>
        <w:rPr>
          <w:b/>
        </w:rPr>
        <w:t xml:space="preserve">模拟输入  </w:t>
      </w:r>
      <w:r>
        <w:t>SIM12甲当前病例，输入报告属于乙。</w:t>
      </w:r>
    </w:p>
    <w:p>
      <w:r>
        <w:rPr>
          <w:b/>
        </w:rPr>
        <w:t xml:space="preserve">预期  </w:t>
      </w:r>
      <w:r>
        <w:t>阻断，不产正式净稿。</w:t>
      </w:r>
    </w:p>
    <w:p>
      <w:r>
        <w:rPr>
          <w:b/>
        </w:rPr>
        <w:t xml:space="preserve">执行结果  </w:t>
      </w:r>
      <w:r>
        <w:t>通过；错患者被阻断；事件未污染。</w:t>
      </w:r>
    </w:p>
    <w:p>
      <w:r>
        <w:t>实际样例输出或状态结果：</w:t>
      </w:r>
    </w:p>
    <w:p>
      <w:pPr>
        <w:pStyle w:val="Code"/>
      </w:pPr>
      <w:r>
        <w:t>已阻断：患者标识与当前病例不一致，需核实归属；当前快照未写入乙报告。</w:t>
      </w:r>
    </w:p>
    <w:p>
      <w:r>
        <w:t>专项复核：事实未补造；诊断不擅自升级；时间不倒写；计划与执行分开；未套用无关病种文本；医学正文格式按文书类型检查。涉及缺资料的样例通过，是因为正确保留或阻断，而非强行给出净稿。</w:t>
      </w:r>
    </w:p>
    <w:p>
      <w:pPr>
        <w:pStyle w:val="Heading2"/>
      </w:pPr>
      <w:r>
        <w:t>13 量表变量不足拒绝编分</w:t>
      </w:r>
    </w:p>
    <w:p>
      <w:r>
        <w:rPr>
          <w:b/>
        </w:rPr>
        <w:t xml:space="preserve">模拟输入  </w:t>
      </w:r>
      <w:r>
        <w:t>SIM13；4AT的AMT4未提供；另例已实际测定不可测试并依法赋2分。</w:t>
      </w:r>
    </w:p>
    <w:p>
      <w:r>
        <w:rPr>
          <w:b/>
        </w:rPr>
        <w:t xml:space="preserve">预期  </w:t>
      </w:r>
      <w:r>
        <w:t>缺失拒绝；实际不可测试项按官方规则，不一律拒评。</w:t>
      </w:r>
    </w:p>
    <w:p>
      <w:r>
        <w:rPr>
          <w:b/>
        </w:rPr>
        <w:t xml:space="preserve">执行结果  </w:t>
      </w:r>
      <w:r>
        <w:t>通过；缺变量拒算；实际不可测试可算。</w:t>
      </w:r>
    </w:p>
    <w:p>
      <w:r>
        <w:t>实际样例输出或状态结果：</w:t>
      </w:r>
    </w:p>
    <w:p>
      <w:pPr>
        <w:pStyle w:val="Code"/>
      </w:pPr>
      <w:r>
        <w:t>未提供AMT4实际结果，不能输出4AT总分。若实际不可测试已由评估者按规则确认，可记录相应项目并汇总。</w:t>
      </w:r>
    </w:p>
    <w:p>
      <w:r>
        <w:t>专项复核：事实未补造；诊断不擅自升级；时间不倒写；计划与执行分开；未套用无关病种文本；医学正文格式按文书类型检查。涉及缺资料的样例通过，是因为正确保留或阻断，而非强行给出净稿。</w:t>
      </w:r>
    </w:p>
    <w:p>
      <w:pPr>
        <w:pStyle w:val="Heading2"/>
      </w:pPr>
      <w:r>
        <w:t>14 日常与三级查房代码框格式</w:t>
      </w:r>
    </w:p>
    <w:p>
      <w:r>
        <w:rPr>
          <w:b/>
        </w:rPr>
        <w:t xml:space="preserve">模拟输入  </w:t>
      </w:r>
      <w:r>
        <w:t>SIM14；正例与内置日期、多段落两个反例。</w:t>
      </w:r>
    </w:p>
    <w:p>
      <w:r>
        <w:rPr>
          <w:b/>
        </w:rPr>
        <w:t xml:space="preserve">预期  </w:t>
      </w:r>
      <w:r>
        <w:t>正例通过，反例均拒绝。</w:t>
      </w:r>
    </w:p>
    <w:p>
      <w:r>
        <w:rPr>
          <w:b/>
        </w:rPr>
        <w:t xml:space="preserve">执行结果  </w:t>
      </w:r>
      <w:r>
        <w:t>通过；正例通过；框内日期拒绝；多段拒绝。</w:t>
      </w:r>
    </w:p>
    <w:p>
      <w:r>
        <w:t>实际样例输出或状态结果：</w:t>
      </w:r>
    </w:p>
    <w:p>
      <w:pPr>
        <w:keepNext/>
      </w:pPr>
      <w:r>
        <w:t>2026年10月25日 09:00 模拟丙主任医师查房记录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今日随模拟丙主任医师查房，患者气促较前减轻。查体双下肢仍有水肿。结合实际检查与用药执行，继续复评容量、肾功能及活动耐量。</w:t>
      </w:r>
    </w:p>
    <w:p>
      <w:pPr>
        <w:pStyle w:val="Code"/>
      </w:pPr>
      <w:r>
        <w:t>```</w:t>
      </w:r>
    </w:p>
    <w:p>
      <w:r>
        <w:t>专项复核：事实未补造；诊断不擅自升级；时间不倒写；计划与执行分开；未套用无关病种文本；医学正文格式按文书类型检查。涉及缺资料的样例通过，是因为正确保留或阻断，而非强行给出净稿。</w:t>
      </w:r>
    </w:p>
    <w:p>
      <w:bookmarkStart w:id="8" w:name="s8"/>
      <w:pPr>
        <w:pStyle w:val="Heading1"/>
      </w:pPr>
      <w:r>
        <w:t>8 长期回归与人工验收</w:t>
      </w:r>
      <w:bookmarkEnd w:id="8"/>
    </w:p>
    <w:p>
      <w:r>
        <w:t>新增指南、模板或路由后必须复跑14项，并加入变更相关正反例。人工关注：每个事实是否来自本病例；危急处置是否真实；药物建议是否误当执行；量表是否适用；三层查房是否有不同实际决策；文书是否能被院内系统正确承载。部署前由老年医学、病案、药学及信息团队按本院流程审核。</w:t>
      </w:r>
    </w:p>
    <w:p>
      <w:bookmarkStart w:id="9" w:name="s9"/>
      <w:pPr>
        <w:pStyle w:val="Heading1"/>
      </w:pPr>
      <w:r>
        <w:t>9 医学事实边界与协同规则</w:t>
      </w:r>
      <w:bookmarkEnd w:id="9"/>
    </w:p>
    <w:p>
      <w:r>
        <w:t>调用01约束全部生成过程，由11提供当前住院快照和目标时点；需要查体或CGA时调用03，需要报告解释时调用04，治疗冲突调用07，职称决策调用08，出院和照护调用09，所有输出必须经10。专病知识不能覆盖实际医嘱，模板不能补足未知事实。</w:t>
      </w:r>
    </w:p>
    <w:p>
      <w:r>
        <w:t>数据缺失分为未提供、未询问、未检查、未评估、结果待回报和无法评估；分别保留原因。正式文书只保留有依据的内容。关键缺失先补问；非关键缺失可删去相应句子。不得用“正常”“无异常”填空，不得将筛查结果升级为诊断。</w:t>
      </w:r>
    </w:p>
    <w:p>
      <w:bookmarkStart w:id="10" w:name="s10"/>
      <w:pPr>
        <w:pStyle w:val="Heading1"/>
      </w:pPr>
      <w:r>
        <w:t>10 常见错误与禁止事项</w:t>
      </w:r>
      <w:bookmarkEnd w:id="10"/>
    </w:p>
    <w:p>
      <w:r>
        <w:t>禁止混入其他患者或前次住院的动态数据；禁止将计划写成已执行、将建议写成上级医师实际意见、将旧生命体征写成当日实测值、将护理记录变成医师查体、将未经核验的版本称作最新版。遇事实冲突保留双方证据并交10分级，不静默覆盖。</w:t>
      </w:r>
    </w:p>
    <w:p>
      <w:bookmarkStart w:id="11" w:name="s11"/>
      <w:pPr>
        <w:pStyle w:val="Heading1"/>
      </w:pPr>
      <w:r>
        <w:t>11 典型临床应用示例</w:t>
      </w:r>
      <w:bookmarkEnd w:id="11"/>
    </w:p>
    <w:p>
      <w:r>
        <w:t>以下为明确虚构病例，仅用于展示调用与书写，不代表真实患者资料。SIM15一处医嘱显示抗凝已停，另一执行单显示仍给药。系统保留两来源并阻断当前药物净稿；核对后更新有效状态和纠正链，不能擅自删除其中一项以通过审查。</w:t>
      </w:r>
    </w:p>
    <w:p>
      <w:bookmarkStart w:id="12" w:name="s12"/>
      <w:pPr>
        <w:pStyle w:val="Heading1"/>
      </w:pPr>
      <w:r>
        <w:t>12 质量控制清单</w:t>
      </w:r>
      <w:bookmarkEnd w:id="12"/>
    </w:p>
    <w:p>
      <w:r>
        <w:t>□ 患者与当前住院已核对，目标时点明确</w:t>
      </w:r>
    </w:p>
    <w:p>
      <w:r>
        <w:t>□ 症状、查体、检查、评估及用药均可追溯</w:t>
      </w:r>
    </w:p>
    <w:p>
      <w:r>
        <w:t>□ 诊断确定程度与证据一致，无自动升级</w:t>
      </w:r>
    </w:p>
    <w:p>
      <w:r>
        <w:t>□ 计划、开立、执行、暂停、停用等状态区分正确</w:t>
      </w:r>
    </w:p>
    <w:p>
      <w:r>
        <w:t>□ 缺失与冲突已处理，正文没有模板占位符</w:t>
      </w:r>
    </w:p>
    <w:p>
      <w:r>
        <w:t>□ 日期标题在代码框外，日常病程及查房正文为连续一段</w:t>
      </w:r>
    </w:p>
    <w:p>
      <w:r>
        <w:t>□ 结果仅为待责任医师审核签署的辅助文书</w:t>
      </w:r>
    </w:p>
    <w:p>
      <w:r>
        <w:t>□ 严重问题未解决不输出无标记净稿</w:t>
      </w:r>
    </w:p>
    <w:p>
      <w:r>
        <w:t>□ 14项验收及反例拦截有实际执行结果</w:t>
      </w:r>
    </w:p>
    <w:p>
      <w:r>
        <w:t>□ 样例验收与临床验证边界明确</w:t>
      </w:r>
    </w:p>
    <w:p>
      <w:bookmarkStart w:id="13" w:name="s13"/>
      <w:pPr>
        <w:pStyle w:val="Heading1"/>
      </w:pPr>
      <w:r>
        <w:t>13 版本与证据更新</w:t>
      </w:r>
      <w:bookmarkEnd w:id="13"/>
    </w:p>
    <w:p>
      <w:r>
        <w:t>版本V1.0；建立及核验日期：2026年10月25日。维护者由使用机构指定。每6个月及重大规范发布后复核；涉及诊断阈值、评分、药物或抢救流程时，使用前再次核对正式原文、药品说明书和本院制度。修订须记录旧版本、新版本、生效日期、适用病例和回归测试，不倒改已签署历史病历。</w:t>
      </w:r>
    </w:p>
    <w:p>
      <w:r>
        <w:t>证据状态说明：以下为本次可核验的具名版本与适用范围，未将目录入口或摘要核验冒充完整条款审核。国际指南须经过本地适用性评估；具体剂量、阈值或工具分值未核实时不启用自动计算。</w:t>
      </w:r>
    </w:p>
    <w:p>
      <w:pPr>
        <w:pStyle w:val="Evidence"/>
        <w:keepLines/>
      </w:pPr>
      <w:r>
        <w:t>[R01] 病历书写基本规范。机构或作者：原卫生部；版本：2010；适用范围及证据用途：中国医疗机构病历的真实性、结构和完成时限；核验：2026年10月25日。</w:t>
      </w:r>
      <w:hyperlink r:id="rId10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[R02] 医疗机构病历管理规定 2013年版。机构或作者：国家卫生计生委 国家中医药管理局；版本：2013；适用范围及证据用途：病历归属、保管、复制与留痕；核验：2026年10月25日。</w:t>
      </w:r>
      <w:hyperlink r:id="rId11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[R03] 电子病历应用管理规范 试行。机构或作者：国家卫生计生委 国家中医药管理局；版本：2017；适用范围及证据用途：电子病历建立、修改、签署与管理；核验：2026年10月25日。</w:t>
      </w:r>
      <w:hyperlink r:id="rId12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[R04] 医疗质量安全核心制度要点。机构或作者：国家卫生健康委员会；版本：2018；适用范围及证据用途：三级查房、危急值、会诊、交接与病历管理；核验：2026年10月25日。</w:t>
      </w:r>
      <w:hyperlink r:id="rId13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[R05] 老年医学科建设与管理指南 2025年版。机构或作者：国家卫生健康委办公厅；版本：2025；适用范围及证据用途：老年综合征、共病、CGA及功能目标；取代2019年试行文件；核验：2026年10月25日。</w:t>
      </w:r>
      <w:hyperlink r:id="rId14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[R06] 关于进一步加强医疗机构电子病历信息使用管理的通知。机构或作者：国家卫生健康委员会；版本：2025；适用范围及证据用途：专有身份、权限、使用责任与信息安全；核验：2026年10月25日。</w:t>
      </w:r>
      <w:hyperlink r:id="rId15">
        <w:r>
          <w:rPr>
            <w:color w:val="245A81"/>
          </w:rPr>
          <w:t>原文链接</w:t>
        </w:r>
      </w:hyperlink>
    </w:p>
    <w:sectPr w:rsidR="00FC693F" w:rsidRPr="0006063C" w:rsidSect="00034616">
      <w:footerReference w:type="default" r:id="rId9"/>
      <w:pgSz w:w="11906" w:h="16838"/>
      <w:pgMar w:top="1134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10  |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80"/>
    </w:pPr>
    <w:rPr>
      <w:rFonts w:ascii="Songti SC" w:hAnsi="Songti SC" w:eastAsia="Songti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PingFang SC" w:hAnsi="PingFang SC" w:eastAsia="PingFang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PingFang SC" w:hAnsi="PingFang SC" w:eastAsia="PingFang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="PingFang SC" w:hAnsi="PingFang SC" w:eastAsia="PingFang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200"/>
      <w:contextualSpacing/>
    </w:pPr>
    <w:rPr>
      <w:rFonts w:ascii="PingFang SC" w:hAnsi="PingFang SC" w:eastAsia="PingFang SC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76" w:lineRule="auto"/>
    </w:pPr>
    <w:rPr>
      <w:rFonts w:ascii="Songti SC" w:hAnsi="Songti SC" w:eastAsia="Songti SC"/>
      <w:b w:val="0"/>
      <w:color w:val="000000"/>
      <w:sz w:val="20"/>
    </w:rPr>
  </w:style>
  <w:style w:type="paragraph" w:customStyle="1" w:styleId="Evidence">
    <w:name w:val="Evidence"/>
    <w:pPr>
      <w:spacing w:after="60"/>
    </w:pPr>
    <w:rPr>
      <w:rFonts w:ascii="Songti SC" w:hAnsi="Songti SC" w:eastAsia="Songti SC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nhc.gov.cn/wjw/c100175/201002/b1bec53d90f243e0861529723f00221a.shtml" TargetMode="External"/><Relationship Id="rId11" Type="http://schemas.openxmlformats.org/officeDocument/2006/relationships/hyperlink" Target="https://www.nhc.gov.cn/yzygj/c100068/201312/c9955f0471c04450a9f9ab74648fbdd4.shtml" TargetMode="External"/><Relationship Id="rId12" Type="http://schemas.openxmlformats.org/officeDocument/2006/relationships/hyperlink" Target="https://www.nhc.gov.cn/wjw/c100175/201702/90f3de8ae03d488cbddf509dc958f75b.shtml" TargetMode="External"/><Relationship Id="rId13" Type="http://schemas.openxmlformats.org/officeDocument/2006/relationships/hyperlink" Target="https://www.nhc.gov.cn/yzygj/c100068/201804/42ab2552298047679cd6ec733f233862.shtml" TargetMode="External"/><Relationship Id="rId14" Type="http://schemas.openxmlformats.org/officeDocument/2006/relationships/hyperlink" Target="https://www.nhc.gov.cn/yzygj/c100068/202505/cb8fc8b895b142938027facaeee62e90.shtml" TargetMode="External"/><Relationship Id="rId15" Type="http://schemas.openxmlformats.org/officeDocument/2006/relationships/hyperlink" Target="https://www.nhc.gov.cn/yzygj/c100068/202506/c68abee7c54b4651a774cd533761780b.s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 老年内科病历最终质控诊断修正及时间轴一致性审查库</dc:title>
  <dc:subject>老年内科AI病历书写系统及医学文书模板库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