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老年内科AI自动调用路由与病例状态管理规则库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病例身份与隔离协议  |  </w:t>
        </w:r>
      </w:hyperlink>
      <w:hyperlink w:anchor="s4">
        <w:r>
          <w:t>4 25项病例状态字段  |  </w:t>
        </w:r>
      </w:hyperlink>
      <w:hyperlink w:anchor="s5">
        <w:r>
          <w:t>5 事件对象与时间语义  |  </w:t>
        </w:r>
      </w:hyperlink>
      <w:hyperlink w:anchor="s6">
        <w:r>
          <w:t>6 关键状态机与纠错规则  |  </w:t>
        </w:r>
      </w:hyperlink>
      <w:hyperlink w:anchor="s7">
        <w:r>
          <w:t>7 稳定与动态信息的继承  |  </w:t>
        </w:r>
      </w:hyperlink>
      <w:hyperlink w:anchor="s8">
        <w:r>
          <w:t>8 路由规则与最小充分选择  |  </w:t>
        </w:r>
      </w:hyperlink>
      <w:hyperlink w:anchor="s9">
        <w:r>
          <w:t>9 当前病例快照模板  |  </w:t>
        </w:r>
      </w:hyperlink>
      <w:hyperlink w:anchor="s10">
        <w:r>
          <w:t>10 恢复上下文 关闭与重新启用  |  </w:t>
        </w:r>
      </w:hyperlink>
      <w:hyperlink w:anchor="s11">
        <w:r>
          <w:t>11 医学文书代码框输出最高规则  |  </w:t>
        </w:r>
      </w:hyperlink>
      <w:hyperlink w:anchor="s12">
        <w:r>
          <w:t>12 医学事实边界与协同规则  |  </w:t>
        </w:r>
      </w:hyperlink>
      <w:hyperlink w:anchor="s13">
        <w:r>
          <w:t>13 常见错误与禁止事项  |  </w:t>
        </w:r>
      </w:hyperlink>
      <w:hyperlink w:anchor="s14">
        <w:r>
          <w:t>14 典型临床应用示例  |  </w:t>
        </w:r>
      </w:hyperlink>
      <w:hyperlink w:anchor="s15">
        <w:r>
          <w:t>15 质量控制清单  |  </w:t>
        </w:r>
      </w:hyperlink>
      <w:hyperlink w:anchor="s16">
        <w:r>
          <w:t>16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通用功能层。模块职责：病例隔离、状态对象、路由与事件管理。</w:t>
      </w:r>
    </w:p>
    <w:p>
      <w:r>
        <w:rPr>
          <w:b/>
        </w:rPr>
        <w:t xml:space="preserve">调用条件  </w:t>
      </w:r>
      <w:r>
        <w:t>每次新输入、纠错、患者切换、目标时点变化、病例关闭或重新启用。</w:t>
      </w:r>
    </w:p>
    <w:p>
      <w:r>
        <w:rPr>
          <w:b/>
        </w:rPr>
        <w:t xml:space="preserve">所需患者资料  </w:t>
      </w:r>
      <w:r>
        <w:t>带patient_id及admission_id的材料、来源标识、发生与可知时间、任务、目标文书时间及已保存快照。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1．识别病例，不能只凭姓名或疾病相似自动合并。</w:t>
      </w:r>
    </w:p>
    <w:p>
      <w:r>
        <w:t>2．解析增量事件并进行身份、单位、时间和来源核对；冲突隔离。</w:t>
      </w:r>
    </w:p>
    <w:p>
      <w:r>
        <w:t>3．只接受已核验事件更新相应状态，保留旧版及更正链。</w:t>
      </w:r>
    </w:p>
    <w:p>
      <w:r>
        <w:t>4．按目标时点生成可知快照，分离稳定与动态事实。</w:t>
      </w:r>
    </w:p>
    <w:p>
      <w:r>
        <w:t>5．识别文书、危急和病种，选择最小充分模块。</w:t>
      </w:r>
    </w:p>
    <w:p>
      <w:r>
        <w:t>6．生成草稿交10，保存输出版本与未决问题；实际签署归院内系统。</w:t>
      </w:r>
    </w:p>
    <w:p>
      <w:bookmarkStart w:id="3" w:name="s3"/>
      <w:pPr>
        <w:pStyle w:val="Heading1"/>
      </w:pPr>
      <w:r>
        <w:t>3 病例身份与隔离协议</w:t>
      </w:r>
      <w:bookmarkEnd w:id="3"/>
    </w:p>
    <w:p>
      <w:r>
        <w:t>键为patient_id＋admission_id。姓名相同不能合并，住院号变动须核对机构与身份映射。病种不同本身不是新患者证明；姓名或性别冲突也不能自动选择一方。新患者明确时切换并清空动态工作区；归属不明时把资料放入隔离队列，不写入任何活动快照。</w:t>
      </w:r>
    </w:p>
    <w:p>
      <w:r>
        <w:t>同人再次住院新建admission_id：可引用经过核验的稳定既往史、过敏及前次摘要；旧药、氧疗、导管、症状、生命体征和功能评分全部重新确认。当前病例已关闭时不接受直接追加；重新启用须明确同次住院更正还是新住院，并保留日志。</w:t>
      </w:r>
    </w:p>
    <w:p>
      <w:bookmarkStart w:id="4" w:name="s4"/>
      <w:pPr>
        <w:pStyle w:val="Heading1"/>
      </w:pPr>
      <w:r>
        <w:t>4 25项病例状态字段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57"/>
        <w:gridCol w:w="5329"/>
      </w:tblGrid>
      <w:tr>
        <w:trPr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追踪内容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取值与更新要求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patient_identity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患者身份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匿名patient_id、院内映射、姓名性别出生信息及核验来源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admission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当前住院次数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admission_id、入院时间、再入院与前次关系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stage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医疗阶段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入院、评估、急性治疗、稳定、康复、出院准备、出院、随访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primary_diagnosis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主诊断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名称、证据、确认医师、有效时点与版本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comorbidities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合并诊断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当前活动、稳定、既往及待排逐项区分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certainty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诊断确定程度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疑似、考虑、临床确认、已排除；不得仅按词出现确诊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symptoms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症状变化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发生及询问时间、主体、变化和缺项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vitals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生命体征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实测时点、测量条件、结果单位及观察者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investigations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最新检查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申请、已做待报、正式回报、纠正版分别追踪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cga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CGA状态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领域、工具版本、逐项变量、评估者时间及基线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cognition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认知和意识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病前认知、当前警觉注意及急性波动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ADL与活动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逐项能力、器具及协助，不默认自理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nutrition_swallow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营养吞咽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摄入体重、筛查、通路质地和禁食实际状态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mobility_falls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活动跌倒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限制、转移、步态、事件与保护条件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resp_support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氧疗呼吸支持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装置模式流量参数、开始停止与同次氧合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devices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导管与装置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每根独立ID、部位、指征、置入维护拔除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medications_current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当前药物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药名剂型剂量途径频次、适应证与执行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medications_stopped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已停药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停用生效、原因、确认和历史暴露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treatment_changes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治疗变更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原计划、新计划、医师确认、开立执行和反应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opinions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会诊和医师意见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人员职称、实际意见、时间、采纳与落实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rescue_events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抢救事件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分钟级事件、执行、复评、转归与补记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discharge_readiness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出院准备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稳定、药单、功能、照护和未回报追踪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preferences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意愿照护目标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本人表达、能力、代理权限、具体治疗限制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document_time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文书时间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target_at、generated_at、签署状态与版本</w:t>
            </w:r>
          </w:p>
        </w:tc>
      </w:tr>
      <w:tr>
        <w:trPr/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isolation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患者隔离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当前patient_id及admission_id、可访问资料白名单和冲突锁</w:t>
            </w:r>
          </w:p>
        </w:tc>
      </w:tr>
    </w:tbl>
    <w:p/>
    <w:p>
      <w:bookmarkStart w:id="5" w:name="s5"/>
      <w:pPr>
        <w:pStyle w:val="Heading1"/>
      </w:pPr>
      <w:r>
        <w:t>5 事件对象与时间语义</w:t>
      </w:r>
      <w:bookmarkEnd w:id="5"/>
    </w:p>
    <w:p>
      <w:r>
        <w:t>每条事实包含event_id、patient_id、admission_id、kind、value、unit、source_id、source_type、author_or_observer、event_time、available_time、recorded_at、status、certainty、supersedes及conflict_id。部分时间未知用null并标明未知，不能以生成时间替代。机器实现应使用带时区ISO8601时间；本院时区为Asia/Shanghai，跨机构时间需明确转换。</w:t>
      </w:r>
    </w:p>
    <w:p>
      <w:r>
        <w:t>event_time为实际发生或采样；available_time为临床已可知时点；recorded_at为录入；target_at为文书描写时点；generated_at为本次生成。快照需同时满足event_time≤target_at和available_time≤target_at。事后补记必须明确真实记录时间与补记属性，不能把后来结果倒写成当时已知。</w:t>
      </w:r>
    </w:p>
    <w:p>
      <w:bookmarkStart w:id="6" w:name="s6"/>
      <w:pPr>
        <w:pStyle w:val="Heading1"/>
      </w:pPr>
      <w:r>
        <w:t>6 关键状态机与纠错规则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422"/>
        <w:gridCol w:w="3572"/>
      </w:tblGrid>
      <w:tr>
        <w:trPr>
          <w:tblHeader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状态链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禁止迁移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检查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ORDERED → PERFORMED_PENDING → REPORTED；可更正或取消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申请直接跳结果；旧版被静默删除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用药医嘱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PROPOSED → CONFIRMED_PLAN → ORDERED → DISCONTINUED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建议当开立；停用后在用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给药执行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SCHEDULED → ADMINISTERED 或 NOT_GIVEN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医嘱在用等于每次已给；漏给被抹去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用药暂停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ACTIVE → HELD → RESUMED 或 STOPPED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暂停等于永久停药；无重启事件自动恢复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装置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PLANNED → IN_SITU → REMOVED；失败或取消独列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计划拔管等于已拔；无证据称通畅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诊断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SUSPECTED → CONFIRMED 或 RULED_OUT；更正保留前版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知识推断直接确诊；后期诊断倒改前日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病例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OPEN → DISCHARGE_PREP → CLOSED；显式REOPEN</w:t>
            </w:r>
          </w:p>
        </w:tc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同名自动复用；闭案静默续写</w:t>
            </w:r>
          </w:p>
        </w:tc>
      </w:tr>
    </w:tbl>
    <w:p/>
    <w:p>
      <w:r>
        <w:t>“更新”不等于所有新信息覆盖旧信息。用户纠错生成supersedes关系，非关键且明确来源的修订进入当前有效版本；关键冲突先锁定并待核。诊断演变可记录“此前考虑甲，现依据乙修正为丙”，不把合理认识变化判为错误，也不删原版本。实际给药与医嘱同时存在矛盾时分别保存、停止净稿并核对。</w:t>
      </w:r>
    </w:p>
    <w:p>
      <w:bookmarkStart w:id="7" w:name="s7"/>
      <w:pPr>
        <w:pStyle w:val="Heading1"/>
      </w:pPr>
      <w:r>
        <w:t>7 稳定与动态信息的继承</w:t>
      </w:r>
      <w:bookmarkEnd w:id="7"/>
    </w:p>
    <w:p>
      <w:r>
        <w:t>身份与已确认既往诊断、过敏可在核对后作为稳定事实；症状、体温、血压、查体、氧合、尿量、CGA及营养活动是带时点观察，不默认次日仍相同。长期医嘱与装置状态在缺停止事件时也需标明最近核验，不能凭此证明当日给药或装置通畅。定期核对状态陈旧度，阈值由本院和具体任务配置。</w:t>
      </w:r>
    </w:p>
    <w:p>
      <w:bookmarkStart w:id="8" w:name="s8"/>
      <w:pPr>
        <w:pStyle w:val="Heading1"/>
      </w:pPr>
      <w:r>
        <w:t>8 路由规则与最小充分选择</w:t>
      </w:r>
      <w:bookmarkEnd w:id="8"/>
    </w:p>
    <w:p>
      <w:r>
        <w:t>固定链00、01、11、10。常规文书02；查房08；报告04；CGA03；操作05；急性恶化06；用药冲突07；康复出院09。病种选择101心血管、102呼吸、103神经认知、104代谢、105肾泌消血、106感染急危、107综合征；复杂治疗冲突或照护目标再叠加108。不能只按“感染”二字把所有病例判脓毒症，路由不是诊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3402"/>
        <w:gridCol w:w="3458"/>
      </w:tblGrid>
      <w:tr>
        <w:trPr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示范路由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附加要求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写首次病程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02 → 10 → 11 → 101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写主任医师查房记录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02 → 03 → 08 → 10 → 11 → 103 → 107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分析化验报告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04 → 10 → 11 → 105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急性意识病程记录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02 → 03 → 06 → 10 → 11 → 103 → 106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多病共存查房记录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02 → 07 → 08 → 10 → 11 → 101 → 105 → 108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用药安全分析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07 → 10 → 11 → 104 → 105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失能出院记录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→ 01 → 02 → 07 → 09 → 10 → 11 → 107 → 108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实际运行先01及11，10始终最后；表中按编号展示所选集合</w:t>
            </w:r>
          </w:p>
        </w:tc>
      </w:tr>
    </w:tbl>
    <w:p/>
    <w:p>
      <w:bookmarkStart w:id="9" w:name="s9"/>
      <w:pPr>
        <w:pStyle w:val="Heading1"/>
      </w:pPr>
      <w:r>
        <w:t>9 当前病例快照模板</w:t>
      </w:r>
      <w:bookmarkEnd w:id="9"/>
    </w:p>
    <w:p>
      <w:r>
        <w:t>以下是接口结构示例，非真实患者数据；null表示未知，不能转为阴性或正常。快照由机构在授权环境保存，本库不声称已创建持久数据库。</w:t>
      </w:r>
    </w:p>
    <w:p>
      <w:pPr>
        <w:pStyle w:val="Code"/>
      </w:pPr>
      <w:r>
        <w:t>{</w:t>
        <w:br/>
        <w:t xml:space="preserve">  "patient_id": "SIM_STATE",</w:t>
        <w:br/>
        <w:t xml:space="preserve">  "admission_id": "A1",</w:t>
        <w:br/>
        <w:t xml:space="preserve">  "target_at": "2026-10-25T09:00:00+08:00",</w:t>
        <w:br/>
        <w:t xml:space="preserve">  "stage": "ACUTE_TREATMENT",</w:t>
        <w:br/>
        <w:t xml:space="preserve">  "diagnoses": [</w:t>
        <w:br/>
        <w:t xml:space="preserve">    {</w:t>
        <w:br/>
        <w:t xml:space="preserve">      "name": "肾功能异常",</w:t>
        <w:br/>
        <w:t xml:space="preserve">      "certainty": "CONFIRMED_FINDING",</w:t>
        <w:br/>
        <w:t xml:space="preserve">      "chronicity": null</w:t>
        <w:br/>
        <w:t xml:space="preserve">    }</w:t>
        <w:br/>
        <w:t xml:space="preserve">  ],</w:t>
        <w:br/>
        <w:t xml:space="preserve">  "latest_observations": [],</w:t>
        <w:br/>
        <w:t xml:space="preserve">  "med_orders": [],</w:t>
        <w:br/>
        <w:t xml:space="preserve">  "administrations": [],</w:t>
        <w:br/>
        <w:t xml:space="preserve">  "cga": {</w:t>
        <w:br/>
        <w:t xml:space="preserve">    "MNA_SF": {</w:t>
        <w:br/>
        <w:t xml:space="preserve">      "status": "NOT_ASSESSED",</w:t>
        <w:br/>
        <w:t xml:space="preserve">      "score": null</w:t>
        <w:br/>
        <w:t xml:space="preserve">    }</w:t>
        <w:br/>
        <w:t xml:space="preserve">  },</w:t>
        <w:br/>
        <w:t xml:space="preserve">  "devices": [],</w:t>
        <w:br/>
        <w:t xml:space="preserve">  "unresolved_conflicts": [],</w:t>
        <w:br/>
        <w:t xml:space="preserve">  "pending_results": [],</w:t>
        <w:br/>
        <w:t xml:space="preserve">  "preferences": {</w:t>
        <w:br/>
        <w:t xml:space="preserve">    "source": null,</w:t>
        <w:br/>
        <w:t xml:space="preserve">    "goal": null</w:t>
        <w:br/>
        <w:t xml:space="preserve">  },</w:t>
        <w:br/>
        <w:t xml:space="preserve">  "closed": false</w:t>
        <w:br/>
        <w:t>}</w:t>
      </w:r>
    </w:p>
    <w:p>
      <w:bookmarkStart w:id="10" w:name="s10"/>
      <w:pPr>
        <w:pStyle w:val="Heading1"/>
      </w:pPr>
      <w:r>
        <w:t>10 恢复上下文 关闭与重新启用</w:t>
      </w:r>
      <w:bookmarkEnd w:id="10"/>
    </w:p>
    <w:p>
      <w:r>
        <w:t>跨会话恢复先校验快照身份、时间、版本、来源清单及未决冲突；无法获得快照时重新核对最小资料，不能声称记得前次患者。闭案冻结当前快照和输出版本，保留未回报结果跟踪责任。再次开启须提供授权范围和实际阶段，新增事实追加，历史签署记录按院内更正流程处理。</w:t>
      </w:r>
    </w:p>
    <w:p>
      <w:bookmarkStart w:id="11" w:name="s11"/>
      <w:pPr>
        <w:pStyle w:val="Heading1"/>
      </w:pPr>
      <w:r>
        <w:t>11 医学文书代码框输出最高规则</w:t>
      </w:r>
      <w:bookmarkEnd w:id="11"/>
    </w:p>
    <w:p>
      <w:r>
        <w:t>1．今后生成所有老年内科医学文书时，必须使用Markdown代码框输出可复制的正文。</w:t>
      </w:r>
    </w:p>
    <w:p>
      <w:r>
        <w:t>2．日期和时间必须位于代码框之外。</w:t>
      </w:r>
    </w:p>
    <w:p>
      <w:r>
        <w:t>3．某某主治医师查房记录、某某副主任医师查房记录、某某主任医师查房记录等标题必须位于代码框之外。</w:t>
      </w:r>
    </w:p>
    <w:p>
      <w:r>
        <w:t>4．代码框内只放实际医学文书正文。</w:t>
      </w:r>
    </w:p>
    <w:p>
      <w:r>
        <w:t>5．不得把日期时间再次写入代码框。</w:t>
      </w:r>
    </w:p>
    <w:p>
      <w:r>
        <w:t>6．不得把文书标题再次写入代码框。</w:t>
      </w:r>
    </w:p>
    <w:p>
      <w:r>
        <w:t>7．不得写医学文书正文等无关标签。</w:t>
      </w:r>
    </w:p>
    <w:p>
      <w:r>
        <w:t>8．不得在代码框内加入AI解释、提醒、前言或结语。</w:t>
      </w:r>
    </w:p>
    <w:p>
      <w:r>
        <w:t>9．日常病程和各级医师查房正文必须保持连续一整段。</w:t>
      </w:r>
    </w:p>
    <w:p>
      <w:r>
        <w:t>10．正文不分条、不留空行、不添加多余空格。</w:t>
      </w:r>
    </w:p>
    <w:p>
      <w:r>
        <w:t>11．生成内容应能够直接复制到医院电子病历正文栏。</w:t>
      </w:r>
    </w:p>
    <w:p>
      <w:r>
        <w:t>12．入院、出院等具有固定栏目结构要求的文书可以保留必要栏目，但不得加入多余解释。</w:t>
      </w:r>
    </w:p>
    <w:p>
      <w:r>
        <w:t>13．所有模块必须遵守这一输出格式。</w:t>
      </w:r>
    </w:p>
    <w:p>
      <w:r>
        <w:t>14．以上格式为系统最高优先级强制规则，不得被其他模块覆盖。占位符仅供模板编辑，不能进入正式净稿。</w:t>
      </w:r>
    </w:p>
    <w:p>
      <w:r>
        <w:t>15．禁止在正式病历使用“根据昨天查房记录”“结合前一天的查体情况”“根据用户上传的图片”“从报告图片中可以看到”等来源交代或过渡语。</w:t>
      </w:r>
    </w:p>
    <w:p>
      <w:r>
        <w:t>16．当存在严重事实冲突时，暂停正式净稿生成，在代码框外单列待核实事项；不得将问题伪装成已确认医学事实。</w:t>
      </w:r>
    </w:p>
    <w:p>
      <w:r>
        <w:t>抢救事件采取“事件日期时间在框外、该事件正文在框内”的逐事件输出；电子病历须把事件时间一并录入对应时间字段，不能仅粘贴无时间正文。报告保真副本是来源材料，采用附件或引文保留全部原文；转换为医学文书时把报告日期放在代码框外，不删改保真副本。</w:t>
      </w:r>
    </w:p>
    <w:p>
      <w:r>
        <w:t>以下为格式结构示例，所有槽位均待真实资料替换，不代表已经发生的查房。</w:t>
      </w:r>
    </w:p>
    <w:p>
      <w:pPr>
        <w:keepNext/>
      </w:pPr>
      <w:r>
        <w:t>2026年10月25日 09:00 某某主任医师查房记录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某某主任医师查房，患者诉【当日真实症状】。今日查体：【当日实际查体结果】。辅助检查：【实际检查结果及相应分析】。某某主任医师分析：【结合患者真实资料形成的诊断分析、危险评估及相关意见】。目前【实际治疗状态或经责任医师确认的诊疗计划】，继续关注【具体观察指标】。</w:t>
      </w:r>
    </w:p>
    <w:p>
      <w:pPr>
        <w:pStyle w:val="Code"/>
      </w:pPr>
      <w:r>
        <w:t>```</w:t>
      </w:r>
    </w:p>
    <w:p>
      <w:bookmarkStart w:id="12" w:name="s12"/>
      <w:pPr>
        <w:pStyle w:val="Heading1"/>
      </w:pPr>
      <w:r>
        <w:t>12 医学事实边界与协同规则</w:t>
      </w:r>
      <w:bookmarkEnd w:id="12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13" w:name="s13"/>
      <w:pPr>
        <w:pStyle w:val="Heading1"/>
      </w:pPr>
      <w:r>
        <w:t>13 常见错误与禁止事项</w:t>
      </w:r>
      <w:bookmarkEnd w:id="13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14" w:name="s14"/>
      <w:pPr>
        <w:pStyle w:val="Heading1"/>
      </w:pPr>
      <w:r>
        <w:t>14 典型临床应用示例</w:t>
      </w:r>
      <w:bookmarkEnd w:id="14"/>
    </w:p>
    <w:p>
      <w:r>
        <w:t>以下为明确虚构病例，仅用于展示调用与书写，不代表真实患者资料。SIM14患者甲的培养采样在前日，但回报在当日14时。生成当日09时病程看不到阳性结果；15时可以使用并保留采样和回报差别。患者乙的同名报告进入隔离队列，不会更新甲。</w:t>
      </w:r>
    </w:p>
    <w:p>
      <w:bookmarkStart w:id="15" w:name="s15"/>
      <w:pPr>
        <w:pStyle w:val="Heading1"/>
      </w:pPr>
      <w:r>
        <w:t>15 质量控制清单</w:t>
      </w:r>
      <w:bookmarkEnd w:id="15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patient_id与admission_id双键匹配</w:t>
      </w:r>
    </w:p>
    <w:p>
      <w:r>
        <w:t>□ 快照同时满足发生与可知时点，动态无自动日复制</w:t>
      </w:r>
    </w:p>
    <w:p>
      <w:r>
        <w:t>□ 纠错及关闭重新启用有版本日志</w:t>
      </w:r>
    </w:p>
    <w:p>
      <w:bookmarkStart w:id="16" w:name="s16"/>
      <w:pPr>
        <w:pStyle w:val="Heading1"/>
      </w:pPr>
      <w:r>
        <w:t>16 版本与证据更新</w:t>
      </w:r>
      <w:bookmarkEnd w:id="16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[R02] 医疗机构病历管理规定 2013年版。机构或作者：国家卫生计生委 国家中医药管理局；版本：2013；适用范围及证据用途：病历归属、保管、复制与留痕；核验：2026年10月25日。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[R03] 电子病历应用管理规范 试行。机构或作者：国家卫生计生委 国家中医药管理局；版本：2017；适用范围及证据用途：电子病历建立、修改、签署与管理；核验：2026年10月25日。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[R06] 关于进一步加强医疗机构电子病历信息使用管理的通知。机构或作者：国家卫生健康委员会；版本：2025；适用范围及证据用途：专有身份、权限、使用责任与信息安全；核验：2026年10月25日。</w:t>
      </w:r>
      <w:hyperlink r:id="rId14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11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312/c9955f0471c04450a9f9ab74648fbdd4.shtml" TargetMode="External"/><Relationship Id="rId12" Type="http://schemas.openxmlformats.org/officeDocument/2006/relationships/hyperlink" Target="https://www.nhc.gov.cn/wjw/c100175/201702/90f3de8ae03d488cbddf509dc958f75b.shtml" TargetMode="External"/><Relationship Id="rId13" Type="http://schemas.openxmlformats.org/officeDocument/2006/relationships/hyperlink" Target="https://www.nhc.gov.cn/yzygj/c100068/201804/42ab2552298047679cd6ec733f233862.shtml" TargetMode="External"/><Relationship Id="rId14" Type="http://schemas.openxmlformats.org/officeDocument/2006/relationships/hyperlink" Target="https://www.nhc.gov.cn/yzygj/c100068/202506/c68abee7c54b4651a774cd533761780b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老年内科AI自动调用路由与病例状态管理规则库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