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神经系统专科检查与定位诊断模板库</w:t>
      </w:r>
    </w:p>
    <w:p>
      <w:r>
        <w:t>版本 V1.0  |  建立与核验日期 2026年10月25日  |  第二级模块</w:t>
      </w:r>
    </w:p>
    <w:p>
      <w:r>
        <w:t>组织神经系统实查、定位推理及量表变量，防止模板生成虚假体征。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功能定位：组织神经系统实查、定位推理及量表变量，防止模板生成虚假体征。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适用范围：各类神经疾病、卒中、介入前后及康复功能评价。</w:t>
      </w:r>
    </w:p>
    <w:p>
      <w:r>
        <w:t>自动调用条件：涉及专科查体、定位、意识、肌力、侧别或评分时。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专科检查与定位的三十项规则</w:t>
      </w:r>
    </w:p>
    <w:p>
      <w:pPr>
        <w:pStyle w:val="Heading2"/>
      </w:pPr>
      <w:r>
        <w:t>01 意识状态检查</w:t>
      </w:r>
    </w:p>
    <w:p>
      <w:r>
        <w:t>采集变量：觉醒程度、刺激方式、睁眼及行为反应，镇静/气管插管等影响。分析规则：清醒、嗜睡、昏睡与昏迷须依据实际反应，不仅凭护理词语。</w:t>
      </w:r>
    </w:p>
    <w:p>
      <w:r>
        <w:t>结构模板：意识【实际状态】，对【刺激】呈【反应】，评估受【因素】影响。未实施项删去或记录真实不能查原因，不补“正常”。</w:t>
      </w:r>
    </w:p>
    <w:p>
      <w:pPr>
        <w:pStyle w:val="Heading2"/>
      </w:pPr>
      <w:r>
        <w:t>02 精神状态检查</w:t>
      </w:r>
    </w:p>
    <w:p>
      <w:r>
        <w:t>采集变量：行为、情绪、幻觉、妄想、波动、睡眠及用药。分析规则：急性波动需鉴别谵妄、感染、癫痫和代谢异常。</w:t>
      </w:r>
    </w:p>
    <w:p>
      <w:r>
        <w:t>结构模板：精神行为【实际表现】，较基线【变化】。未实施项删去或记录真实不能查原因，不补“正常”。</w:t>
      </w:r>
    </w:p>
    <w:p>
      <w:pPr>
        <w:pStyle w:val="Heading2"/>
      </w:pPr>
      <w:r>
        <w:t>03 定向力检查</w:t>
      </w:r>
    </w:p>
    <w:p>
      <w:r>
        <w:t>采集变量：时间、地点、人物及情境定向。分析规则：失语、听障与文化程度影响回答，不能作纯认知缺陷。</w:t>
      </w:r>
    </w:p>
    <w:p>
      <w:r>
        <w:t>结构模板：定向力：时间【结果】，地点【结果】，人物【结果】。未实施项删去或记录真实不能查原因，不补“正常”。</w:t>
      </w:r>
    </w:p>
    <w:p>
      <w:pPr>
        <w:pStyle w:val="Heading2"/>
      </w:pPr>
      <w:r>
        <w:t>04 记忆与认知功能检查</w:t>
      </w:r>
    </w:p>
    <w:p>
      <w:r>
        <w:t>采集变量：注意、即刻记忆、延迟回忆、执行、视空间、病前功能。分析规则：区分急性谵妄与慢性衰退，需知情人旁证。</w:t>
      </w:r>
    </w:p>
    <w:p>
      <w:r>
        <w:t>结构模板：认知检查【实际项目和结果】，日常功能【真实影响】。未实施项删去或记录真实不能查原因，不补“正常”。</w:t>
      </w:r>
    </w:p>
    <w:p>
      <w:pPr>
        <w:pStyle w:val="Heading2"/>
      </w:pPr>
      <w:r>
        <w:t>05 语言和构音功能</w:t>
      </w:r>
    </w:p>
    <w:p>
      <w:r>
        <w:t>采集变量：自发语、理解、命名、复述、阅读、书写、音质。分析规则：失语与构音障碍分开，结合优势半球及皮质下通路。</w:t>
      </w:r>
    </w:p>
    <w:p>
      <w:r>
        <w:t>结构模板：语言【分项所见】，构音【实际表现】。未实施项删去或记录真实不能查原因，不补“正常”。</w:t>
      </w:r>
    </w:p>
    <w:p>
      <w:pPr>
        <w:pStyle w:val="Heading2"/>
      </w:pPr>
      <w:r>
        <w:t>06 视力视野及瞳孔</w:t>
      </w:r>
    </w:p>
    <w:p>
      <w:r>
        <w:t>采集变量：矫正视力、对照视野、瞳孔直径、对光反射及传入障碍。分析规则：视力下降、偏盲与忽略分开；瞳孔用毫米记录。</w:t>
      </w:r>
    </w:p>
    <w:p>
      <w:r>
        <w:t>结构模板：双眼视力【实测】，视野【结果】，瞳孔【左右数值】mm，对光【结果】。未实施项删去或记录真实不能查原因，不补“正常”。</w:t>
      </w:r>
    </w:p>
    <w:p>
      <w:pPr>
        <w:pStyle w:val="Heading2"/>
      </w:pPr>
      <w:r>
        <w:t>07 眼球运动</w:t>
      </w:r>
    </w:p>
    <w:p>
      <w:r>
        <w:t>采集变量：各方向运动、复视、眼震、凝视及眼位。分析规则：眼肌、颅神经、核间及凝视中枢分别定位。</w:t>
      </w:r>
    </w:p>
    <w:p>
      <w:r>
        <w:t>结构模板：眼位【实测】，眼球各向运动【所见】，眼震【方向及诱发情况】。未实施项删去或记录真实不能查原因，不补“正常”。</w:t>
      </w:r>
    </w:p>
    <w:p>
      <w:pPr>
        <w:pStyle w:val="Heading2"/>
      </w:pPr>
      <w:r>
        <w:t>08 面部感觉及面肌运动</w:t>
      </w:r>
    </w:p>
    <w:p>
      <w:r>
        <w:t>采集变量：三叉分布感觉、咀嚼肌、额纹闭眼鼻唇沟及鼓腮。分析规则：区分中枢/周围面瘫；不把一项体征等同完整颅神经阴性。</w:t>
      </w:r>
    </w:p>
    <w:p>
      <w:r>
        <w:t>结构模板：面部感觉【分区结果】，额纹闭眼及下部面肌【实测】。未实施项删去或记录真实不能查原因，不补“正常”。</w:t>
      </w:r>
    </w:p>
    <w:p>
      <w:pPr>
        <w:pStyle w:val="Heading2"/>
      </w:pPr>
      <w:r>
        <w:t>09 听力及前庭功能</w:t>
      </w:r>
    </w:p>
    <w:p>
      <w:r>
        <w:t>采集变量：听力、眼震、头脉冲与姿势平衡，评估者资质。分析规则：HINTS只用于合适急性前庭综合征且受训者实施，不能泛用于所有头晕。</w:t>
      </w:r>
    </w:p>
    <w:p>
      <w:r>
        <w:t>结构模板：听力【实际】，前庭检查【项目、所见及限制】。未实施项删去或记录真实不能查原因，不补“正常”。</w:t>
      </w:r>
    </w:p>
    <w:p>
      <w:pPr>
        <w:pStyle w:val="Heading2"/>
      </w:pPr>
      <w:r>
        <w:t>10 吞咽咽反射及软腭</w:t>
      </w:r>
    </w:p>
    <w:p>
      <w:r>
        <w:t>采集变量：声音、咳嗽、分泌物、软腭运动及已实施筛查。分析规则：不能仅凭饮水无呛咳排除隐性误吸，不对高危者盲目饮水。</w:t>
      </w:r>
    </w:p>
    <w:p>
      <w:r>
        <w:t>结构模板：声音及软腭【实际】，吞咽筛查【结果和时间】，咽反射【已查所见】。未实施项删去或记录真实不能查原因，不补“正常”。</w:t>
      </w:r>
    </w:p>
    <w:p>
      <w:pPr>
        <w:pStyle w:val="Heading2"/>
      </w:pPr>
      <w:r>
        <w:t>11 舌肌功能</w:t>
      </w:r>
    </w:p>
    <w:p>
      <w:r>
        <w:t>采集变量：伸舌偏斜、肌萎缩、纤颤及活动。分析规则：区分舌下神经核/周围损伤与上运动神经元损伤。</w:t>
      </w:r>
    </w:p>
    <w:p>
      <w:r>
        <w:t>结构模板：舌肌【活动、方向、萎缩及其他实查结果】。未实施项删去或记录真实不能查原因，不补“正常”。</w:t>
      </w:r>
    </w:p>
    <w:p>
      <w:pPr>
        <w:pStyle w:val="Heading2"/>
      </w:pPr>
      <w:r>
        <w:t>12 上下肢肌力</w:t>
      </w:r>
    </w:p>
    <w:p>
      <w:r>
        <w:t>采集变量：左右肩肘腕指髋膝踝主要肌群、体位和疼痛限制。分析规则：实际抗重力与阻力分别评价，不能由走路或抬手推算全肢5级。</w:t>
      </w:r>
    </w:p>
    <w:p>
      <w:r>
        <w:t>结构模板：肌力：右上肢【分组】，左上肢【分组】，右下肢【分组】，左下肢【分组】。未实施项删去或记录真实不能查原因，不补“正常”。</w:t>
      </w:r>
    </w:p>
    <w:p>
      <w:pPr>
        <w:pStyle w:val="Heading2"/>
      </w:pPr>
      <w:r>
        <w:t>13 肌张力</w:t>
      </w:r>
    </w:p>
    <w:p>
      <w:r>
        <w:t>采集变量：被动活动速度、关节及左右、痉挛或强直。分析规则：疼痛、挛缩及配合影响，痉挛与齿轮样强直不同。</w:t>
      </w:r>
    </w:p>
    <w:p>
      <w:r>
        <w:t>结构模板：肌张力【部位及实际表现】，被动活动【限制因素】。未实施项删去或记录真实不能查原因，不补“正常”。</w:t>
      </w:r>
    </w:p>
    <w:p>
      <w:pPr>
        <w:pStyle w:val="Heading2"/>
      </w:pPr>
      <w:r>
        <w:t>14 肌容积及不自主运动</w:t>
      </w:r>
    </w:p>
    <w:p>
      <w:r>
        <w:t>采集变量：肌萎缩、肌束颤动、震颤、肌阵挛、舞蹈与肌张力障碍。分析规则：说明静止/姿势/动作相关及节律，勿由震颤自动诊断帕金森病。</w:t>
      </w:r>
    </w:p>
    <w:p>
      <w:r>
        <w:t>结构模板：肌容积【结果】，不自主运动【类型、部位、触发因素】。未实施项删去或记录真实不能查原因，不补“正常”。</w:t>
      </w:r>
    </w:p>
    <w:p>
      <w:pPr>
        <w:pStyle w:val="Heading2"/>
      </w:pPr>
      <w:r>
        <w:t>15 腱反射及浅反射</w:t>
      </w:r>
    </w:p>
    <w:p>
      <w:r>
        <w:t>采集变量：肱二头、三头、桡骨膜、膝、跟腱及适用浅反射。分析规则：左右比较并注明分级体系；缺失不自动等同周围神经病。</w:t>
      </w:r>
    </w:p>
    <w:p>
      <w:r>
        <w:t>结构模板：腱反射【左右分项】，浅反射【实查结果】。未实施项删去或记录真实不能查原因，不补“正常”。</w:t>
      </w:r>
    </w:p>
    <w:p>
      <w:pPr>
        <w:pStyle w:val="Heading2"/>
      </w:pPr>
      <w:r>
        <w:t>16 病理反射</w:t>
      </w:r>
    </w:p>
    <w:p>
      <w:r>
        <w:t>采集变量：Babinski、Hoffmann等实际实施项目及侧别。分析规则：未查、不能查和阴性不同；撤退反应不能机械认作阳性。</w:t>
      </w:r>
    </w:p>
    <w:p>
      <w:r>
        <w:t>结构模板：病理反射：【已实施项目】于【侧别】呈【真实反应】。未实施项删去或记录真实不能查原因，不补“正常”。</w:t>
      </w:r>
    </w:p>
    <w:p>
      <w:pPr>
        <w:pStyle w:val="Heading2"/>
      </w:pPr>
      <w:r>
        <w:t>17 浅感觉深感觉及复合感觉</w:t>
      </w:r>
    </w:p>
    <w:p>
      <w:r>
        <w:t>采集变量：针触温、振动、关节位置及皮质感觉分布。分析规则：记录感觉平面、神经根或周围分布，避免单称感觉正常。</w:t>
      </w:r>
    </w:p>
    <w:p>
      <w:r>
        <w:t>结构模板：感觉【方式、侧别、分布与界限】，复合感觉【已查结果】。未实施项删去或记录真实不能查原因，不补“正常”。</w:t>
      </w:r>
    </w:p>
    <w:p>
      <w:pPr>
        <w:pStyle w:val="Heading2"/>
      </w:pPr>
      <w:r>
        <w:t>18 共济运动</w:t>
      </w:r>
    </w:p>
    <w:p>
      <w:r>
        <w:t>采集变量：指鼻、跟膝胫、轮替及视力/肌力影响。分析规则：无力、感觉障碍可影响测试，不能都归小脑。</w:t>
      </w:r>
    </w:p>
    <w:p>
      <w:r>
        <w:t>结构模板：指鼻【结果】，跟膝胫【结果】，检查受【限制】影响。未实施项删去或记录真实不能查原因，不补“正常”。</w:t>
      </w:r>
    </w:p>
    <w:p>
      <w:pPr>
        <w:pStyle w:val="Heading2"/>
      </w:pPr>
      <w:r>
        <w:t>19 站立与步态</w:t>
      </w:r>
    </w:p>
    <w:p>
      <w:r>
        <w:t>采集变量：支撑、步基、步幅、启动、转身及Romberg。分析规则：先保障安全，卧床或高跌倒风险时不强行试验。</w:t>
      </w:r>
    </w:p>
    <w:p>
      <w:r>
        <w:t>结构模板：站立及步态【真实所见或未查原因】，辅助条件【实际】。未实施项删去或记录真实不能查原因，不补“正常”。</w:t>
      </w:r>
    </w:p>
    <w:p>
      <w:pPr>
        <w:pStyle w:val="Heading2"/>
      </w:pPr>
      <w:r>
        <w:t>20 脑膜刺激征</w:t>
      </w:r>
    </w:p>
    <w:p>
      <w:r>
        <w:t>采集变量：颈抵抗、Kernig与Brudzinski是否已查。分析规则：阴性不排除感染，颈椎病等可影响颈抵抗。</w:t>
      </w:r>
    </w:p>
    <w:p>
      <w:r>
        <w:t>结构模板：脑膜刺激征【已查项目及结果】，限制【实际】。未实施项删去或记录真实不能查原因，不补“正常”。</w:t>
      </w:r>
    </w:p>
    <w:p>
      <w:pPr>
        <w:pStyle w:val="Heading2"/>
      </w:pPr>
      <w:r>
        <w:t>21 自主神经功能</w:t>
      </w:r>
    </w:p>
    <w:p>
      <w:r>
        <w:t>采集变量：体位血压、汗、心率、排尿排便及性功能。分析规则：记录测量体位和时间，需排药物、容量和心源性原因。</w:t>
      </w:r>
    </w:p>
    <w:p>
      <w:r>
        <w:t>结构模板：自主神经功能【实测与症状】，立卧位血压【数值和时点】。未实施项删去或记录真实不能查原因，不补“正常”。</w:t>
      </w:r>
    </w:p>
    <w:p>
      <w:pPr>
        <w:pStyle w:val="Heading2"/>
      </w:pPr>
      <w:r>
        <w:t>22 脊髓节段定位</w:t>
      </w:r>
    </w:p>
    <w:p>
      <w:r>
        <w:t>采集变量：感觉平面、长束征、节段体征、括约肌及脊髓MRI。分析规则：脊髓休克可暂缺上运动神经元体征，需急排压迫。</w:t>
      </w:r>
    </w:p>
    <w:p>
      <w:r>
        <w:t>结构模板：支持【节段/通路】受累的依据为【所见】，需排除【压迫或其他病因】。未实施项删去或记录真实不能查原因，不补“正常”。</w:t>
      </w:r>
    </w:p>
    <w:p>
      <w:pPr>
        <w:pStyle w:val="Heading2"/>
      </w:pPr>
      <w:r>
        <w:t>23 周围神经定位</w:t>
      </w:r>
    </w:p>
    <w:p>
      <w:r>
        <w:t>采集变量：单神经、神经根、丛或多发神经分布及电生理。分析规则：疼痛、反射、感觉和肌群需相互对应。</w:t>
      </w:r>
    </w:p>
    <w:p>
      <w:r>
        <w:t>结构模板：损害分布【具体】，定位考虑【神经/根/丛】，依据【真实资料】。未实施项删去或记录真实不能查原因，不补“正常”。</w:t>
      </w:r>
    </w:p>
    <w:p>
      <w:pPr>
        <w:pStyle w:val="Heading2"/>
      </w:pPr>
      <w:r>
        <w:t>24 脑干综合征定位</w:t>
      </w:r>
    </w:p>
    <w:p>
      <w:r>
        <w:t>采集变量：交叉体征、颅神经核束、眼动与长束组合。分析规则：不见典型交叉征也不能排除脑干，结合MRI。</w:t>
      </w:r>
    </w:p>
    <w:p>
      <w:r>
        <w:t>结构模板：【颅神经所见】与【长束所见】提示【脑干水平】可能，证据【内容】。未实施项删去或记录真实不能查原因，不补“正常”。</w:t>
      </w:r>
    </w:p>
    <w:p>
      <w:pPr>
        <w:pStyle w:val="Heading2"/>
      </w:pPr>
      <w:r>
        <w:t>25 大脑半球定位</w:t>
      </w:r>
    </w:p>
    <w:p>
      <w:r>
        <w:t>采集变量：失语、忽略、偏盲、皮质感觉、偏瘫及优势半球。分析规则：病灶侧与症状侧不能简单镜像全部项目。</w:t>
      </w:r>
    </w:p>
    <w:p>
      <w:r>
        <w:t>结构模板：考虑【半球及区域】受累，支持【阳性体征及影像】，尚不能解释【不一致项】。未实施项删去或记录真实不能查原因，不补“正常”。</w:t>
      </w:r>
    </w:p>
    <w:p>
      <w:pPr>
        <w:pStyle w:val="Heading2"/>
      </w:pPr>
      <w:r>
        <w:t>26 小脑定位</w:t>
      </w:r>
    </w:p>
    <w:p>
      <w:r>
        <w:t>采集变量：肢体躯干共济、眼震、构音和步态。分析规则：区分前庭性与感觉性共济失调，后颅窝病变留意恶化。</w:t>
      </w:r>
    </w:p>
    <w:p>
      <w:r>
        <w:t>结构模板：共济障碍【部位】，倾向【小脑/前庭/感觉】性，依据【实际】。未实施项删去或记录真实不能查原因，不补“正常”。</w:t>
      </w:r>
    </w:p>
    <w:p>
      <w:pPr>
        <w:pStyle w:val="Heading2"/>
      </w:pPr>
      <w:r>
        <w:t>27 运动系统定位诊断</w:t>
      </w:r>
    </w:p>
    <w:p>
      <w:r>
        <w:t>采集变量：上/下运动神经元、神经肌接头或肌源性模式。分析规则：综合肌力分布、肌张力、反射、萎缩和疲劳性。</w:t>
      </w:r>
    </w:p>
    <w:p>
      <w:r>
        <w:t>结构模板：运动损害呈【模式】，支持【层面】受累，依据【已查体征】。未实施项删去或记录真实不能查原因，不补“正常”。</w:t>
      </w:r>
    </w:p>
    <w:p>
      <w:pPr>
        <w:pStyle w:val="Heading2"/>
      </w:pPr>
      <w:r>
        <w:t>28 感觉系统定位诊断</w:t>
      </w:r>
    </w:p>
    <w:p>
      <w:r>
        <w:t>采集变量：皮层、丘脑、脑干、脊髓、神经根及末梢模式。分析规则：分离性感觉与交叉分布需逐项记录，不能靠主诉单独定点。</w:t>
      </w:r>
    </w:p>
    <w:p>
      <w:r>
        <w:t>结构模板：感觉障碍分布【内容】，定位【层面及确定度】，需【验证检查】。未实施项删去或记录真实不能查原因，不补“正常”。</w:t>
      </w:r>
    </w:p>
    <w:p>
      <w:pPr>
        <w:pStyle w:val="Heading2"/>
      </w:pPr>
      <w:r>
        <w:t>29 多灶性神经损害判断</w:t>
      </w:r>
    </w:p>
    <w:p>
      <w:r>
        <w:t>采集变量：多个不能由单一病灶解释的症状、体征及影像。分析规则：考虑多发血管、炎症、感染、转移及系统疾病。</w:t>
      </w:r>
    </w:p>
    <w:p>
      <w:r>
        <w:t>结构模板：现有【多处所见】难以单灶解释，考虑【多灶模式】，待【补证】。未实施项删去或记录真实不能查原因，不补“正常”。</w:t>
      </w:r>
    </w:p>
    <w:p>
      <w:pPr>
        <w:pStyle w:val="Heading2"/>
      </w:pPr>
      <w:r>
        <w:t>30 非定位性症状的临床分析</w:t>
      </w:r>
    </w:p>
    <w:p>
      <w:r>
        <w:t>采集变量：疲乏、弥漫头晕、意识波动、躯体症状和药物代谢。分析规则：不因影像正常诊断功能性障碍，也不把非定位症状强行写责任血管。</w:t>
      </w:r>
    </w:p>
    <w:p>
      <w:r>
        <w:t>结构模板：症状【特点】目前缺乏明确局灶定位证据，拟结合【真实计划】鉴别【原因】。未实施项删去或记录真实不能查原因，不补“正常”。</w:t>
      </w:r>
    </w:p>
    <w:p>
      <w:pPr>
        <w:pStyle w:val="Heading1"/>
      </w:pPr>
      <w:r>
        <w:t>四 神经量表变量及解释</w:t>
      </w:r>
    </w:p>
    <w:p>
      <w:pPr>
        <w:pStyle w:val="Heading2"/>
      </w:pPr>
      <w:r>
        <w:t>NIHSS</w:t>
      </w:r>
    </w:p>
    <w:p>
      <w:r>
        <w:t>适用条件：急性卒中及动态功能缺损。评分变量：1a意识0–3；1b提问0–2；1c指令0–2；2凝视0–2；3视野0–3；4面瘫0–3；5a/5b左右上肢各0–4；6a/6b左右下肢各0–4；7共济0–2；8感觉0–2；9语言0–3；10构音0–2；11忽略0–2；总分0–42。</w:t>
      </w:r>
    </w:p>
    <w:p>
      <w:r>
        <w:t>评分时间及条件：入院/再灌注前、治疗后规定时点、病情变化及出院；记录评估者、分项及限制。结果解释：分数越高提示缺损越重；后循环、步态、认知等缺损可被低估。不得由清醒推定0分；无法评估按官方项目规则处理，不用通用缺失值补0。</w:t>
      </w:r>
    </w:p>
    <w:p>
      <w:pPr>
        <w:pStyle w:val="Heading2"/>
      </w:pPr>
      <w:r>
        <w:t>GCS</w:t>
      </w:r>
    </w:p>
    <w:p>
      <w:r>
        <w:t>适用条件：意识障碍及神经重症。评分变量：睁眼E1–4、语言V1–5、运动M1–6；均可评估时总分3–15；记录最佳反应及刺激。</w:t>
      </w:r>
    </w:p>
    <w:p>
      <w:r>
        <w:t>评分时间及条件：入院、恶化、干预前后，同步记录镇静、插管、听语限制。结果解释：有NT不能强加总分；插管不能自动当V1。单个总分不能替代瞳孔、脑干反射与气道评估。</w:t>
      </w:r>
    </w:p>
    <w:p>
      <w:pPr>
        <w:pStyle w:val="Heading2"/>
      </w:pPr>
      <w:r>
        <w:t>mRS</w:t>
      </w:r>
    </w:p>
    <w:p>
      <w:r>
        <w:t>适用条件：卒中前功能与卒中结局。评分变量：0无症状；1有症状无显著残疾；2轻度残疾仍独立处理事务；3需部分帮助但可独立行走；4不能独立行走或处理基本生活；5严重残疾需持续照护；6死亡。</w:t>
      </w:r>
    </w:p>
    <w:p>
      <w:r>
        <w:t>评分时间及条件：分别记录卒中前、出院及随访；不要把基线分数当现时分数。结果解释：功能结局量表不等于肌力或NIHSS；由结构访谈和照护信息判定，不以出院去向推算。</w:t>
      </w:r>
    </w:p>
    <w:p>
      <w:pPr>
        <w:pStyle w:val="Heading2"/>
      </w:pPr>
      <w:r>
        <w:t>Barthel指数</w:t>
      </w:r>
    </w:p>
    <w:p>
      <w:r>
        <w:t>适用条件：基本日常生活活动。评分变量：进食、洗澡、修饰、穿衣、大便、小便、如厕、床椅转移、行走、上下楼梯10项；常用0–100版本，亦有0–20版本，必须注明。</w:t>
      </w:r>
    </w:p>
    <w:p>
      <w:r>
        <w:t>评分时间及条件：入院、康复阶段、出院及随访，标记辅助器具与实际帮助。结果解释：高分表示独立性较好；不同版本不可直接相减，分级阈值需注明采用标准。</w:t>
      </w:r>
    </w:p>
    <w:p>
      <w:pPr>
        <w:pStyle w:val="Heading2"/>
      </w:pPr>
      <w:r>
        <w:t>MMSE</w:t>
      </w:r>
    </w:p>
    <w:p>
      <w:r>
        <w:t>适用条件：认知筛查，非单独痴呆确诊工具。评分变量：时间/地点定向、登记、注意计算、回忆、语言与视结构，总分通常30；填写中文版本、教育及感官限制。</w:t>
      </w:r>
    </w:p>
    <w:p>
      <w:r>
        <w:t>评分时间及条件：患者可配合、无明显急性谵妄时；记录测试时间、语言、教育及评估者。结果解释：解释采用相应中文常模与教育阈值，不能统一用一个截点；低分不等于阿尔茨海默病，不复刻受保护题本。</w:t>
      </w:r>
    </w:p>
    <w:p>
      <w:pPr>
        <w:pStyle w:val="Heading2"/>
      </w:pPr>
      <w:r>
        <w:t>MoCA</w:t>
      </w:r>
    </w:p>
    <w:p>
      <w:r>
        <w:t>适用条件：轻度认知受损筛查。评分变量：视空间执行、命名、注意、语言、抽象、延迟回忆、定向；常用30分版本，教育修正按实际授权版本。</w:t>
      </w:r>
    </w:p>
    <w:p>
      <w:r>
        <w:t>评分时间及条件：在可配合状态使用，经培训并依官方要求认证；注明中文版本、语言、教育和感官限制。结果解释：不依据总分单独确诊；不同版本、训练效应及谵妄影响可比性，不由一句记忆下降生成分数。</w:t>
      </w:r>
    </w:p>
    <w:p>
      <w:pPr>
        <w:pStyle w:val="Heading2"/>
      </w:pPr>
      <w:r>
        <w:t>肌力MRC分级</w:t>
      </w:r>
    </w:p>
    <w:p>
      <w:r>
        <w:t>适用条件：客观肌力分部评估。评分变量：0无收缩；1可见/触收缩但无关节运动；2去重力可完成运动；3抗重力可运动；4可抗一定阻力；5正常阻力；4级细分按院内标准。</w:t>
      </w:r>
    </w:p>
    <w:p>
      <w:r>
        <w:t>评分时间及条件：入院、恶化、治疗及康复前后，左右肌群分别记录。结果解释：疼痛、疲劳、意识和理解影响；不能评估写限制，不以肢体可动替代5级。</w:t>
      </w:r>
    </w:p>
    <w:p>
      <w:pPr>
        <w:pStyle w:val="Heading2"/>
      </w:pPr>
      <w:r>
        <w:t>ASPECTS</w:t>
      </w:r>
    </w:p>
    <w:p>
      <w:r>
        <w:t>适用条件：前循环早期缺血影像评价，需相应图像及训练。评分变量：标准10分制，尾状核、豆状核、内囊、岛叶及M1–M6区域；逐区判定，版本和图像模态明确。</w:t>
      </w:r>
    </w:p>
    <w:p>
      <w:r>
        <w:t>评分时间及条件：再灌注影像评估，注明CT或DWI、时间及评估者。结果解释：非梗死体积等价物；不用于泛化全部后循环；无分项或已核定影像评分不能自动给10分。</w:t>
      </w:r>
    </w:p>
    <w:p>
      <w:pPr>
        <w:pStyle w:val="Heading2"/>
      </w:pPr>
      <w:r>
        <w:t>ICH风险评分</w:t>
      </w:r>
    </w:p>
    <w:p>
      <w:r>
        <w:t>适用条件：自发性脑出血预后沟通辅助。评分变量：GCS3–4为2分、5–12为1分、13–15为0分；血肿量≥30mL、脑室出血、幕下、年龄≥80各1分；总0–6。</w:t>
      </w:r>
    </w:p>
    <w:p>
      <w:r>
        <w:t>评分时间及条件：初始评估明确影像和GCS时间，注明血肿量测量方式。结果解释：不用于单独限制治疗或预测个体必然死亡；抗凝相关出血和特殊病因另作分析。</w:t>
      </w:r>
    </w:p>
    <w:p>
      <w:pPr>
        <w:pStyle w:val="Heading2"/>
      </w:pPr>
      <w:r>
        <w:t>Hunt Hess与WFNS</w:t>
      </w:r>
    </w:p>
    <w:p>
      <w:r>
        <w:t>适用条件：动脉瘤性SAH临床严重度。评分变量：Hunt HessⅠ无/轻症、Ⅱ明显头痛脑膜征且无重要局灶缺损（颅神经除外）、Ⅲ嗜睡/意识混乱或轻局灶缺损、Ⅳ木僵及中重偏瘫、Ⅴ深昏迷濒危；WFNSⅠGCS15无运动缺损、ⅡGCS13–14无运动缺损、ⅢGCS13–14有运动缺损、ⅣGCS7–12、ⅤGCS3–6。</w:t>
      </w:r>
    </w:p>
    <w:p>
      <w:r>
        <w:t>评分时间及条件：优先注明复苏前后、镇静状态和神经评估时间。结果解释：二者不能互换或由头痛强度自动推断；未经评估不赋级。</w:t>
      </w:r>
    </w:p>
    <w:p>
      <w:pPr>
        <w:pStyle w:val="Heading2"/>
      </w:pPr>
      <w:r>
        <w:t>改良Fisher分级</w:t>
      </w:r>
    </w:p>
    <w:p>
      <w:r>
        <w:t>适用条件：SAH影像血管痉挛相关风险。评分变量：0无SAH/IVH；1薄SAH无IVH；2薄SAH伴IVH；3厚SAH无IVH；4厚SAH伴IVH；依据实际CT及采用标准。</w:t>
      </w:r>
    </w:p>
    <w:p>
      <w:r>
        <w:t>评分时间及条件：初始CT或指定复查，记录评估者、时间及薄厚判断依据。结果解释：不与原Fisher混用；高分代表风险而非已发生血管痉挛或迟发性脑缺血。</w:t>
      </w:r>
    </w:p>
    <w:p>
      <w:pPr>
        <w:pStyle w:val="Heading2"/>
      </w:pPr>
      <w:r>
        <w:t>其他适用量表</w:t>
      </w:r>
    </w:p>
    <w:p>
      <w:r>
        <w:t>适用条件：依据专病选择。评分变量：ABCD2仅TIA风险辅助，不能单独决定去留；MDS-UPDRS/Hoehn Yahr用于帕金森并记录开关期；MG-ADL/QMG用于MG；EDSS用于MS，均按授权原版实际分项。</w:t>
      </w:r>
    </w:p>
    <w:p>
      <w:r>
        <w:t>评分时间及条件：指定评估场景和版本，治疗前后尽可能同条件。结果解释：仅记录实际完成的项目；分数变化必须有两次可比评估，不能由主诉好转推定改善。</w:t>
      </w:r>
    </w:p>
    <w:p>
      <w:pPr>
        <w:pStyle w:val="Heading1"/>
      </w:pPr>
      <w:r>
        <w:t>五 定位诊断完整推理模板</w:t>
      </w:r>
    </w:p>
    <w:p>
      <w:r>
        <w:t>【文书日期及时间】 定位诊断分析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存在【已查阳性体征及分布】，结合【症状演变与影像】，定位考虑【解剖层面及侧别】；支持证据为【具体证据】，尚有【不能解释的体征或矛盾】。需与【替代定位】鉴别，拟结合【已拟定检查或复查】进一步验证。</w:t>
      </w:r>
    </w:p>
    <w:p>
      <w:pPr>
        <w:pStyle w:val="CodeFence"/>
      </w:pPr>
      <w:r>
        <w:t>```</w:t>
      </w:r>
    </w:p>
    <w:p>
      <w:pPr>
        <w:pStyle w:val="Heading1"/>
      </w:pPr>
      <w:r>
        <w:t>六 典型模拟病例</w:t>
      </w:r>
    </w:p>
    <w:p>
      <w:r>
        <w:t>虚构输入：N020/E01，右侧肢体轻瘫伴失语，左侧额颞区急性梗死；无NIHSS分项。定位可考虑左优势半球，不能由影像范围推定缺损分数。</w:t>
      </w:r>
    </w:p>
    <w:p>
      <w:r>
        <w:t>2026年10月25日 09:00 神经功能分析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患者右侧肢体轻瘫伴失语，结合左侧额颞区急性梗死影像，提示左侧优势半球相关语言网络及运动通路受累。现有资料未提供完整NIHSS评估，不能量化其总分。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[R23] NIH Stroke Scale。NINDS官方量表手册。官方量表来源已核验；逐项评分需受训评估者完成。</w:t>
      </w:r>
    </w:p>
    <w:p>
      <w:r>
        <w:t>https://www.ninds.nih.gov/sites/default/files/migrate-documents/nih_stroke_scale_booklet_508c.pdf</w:t>
      </w:r>
    </w:p>
    <w:p>
      <w:r>
        <w:t>[R24] Glasgow Coma Scale assessment resources。Glasgow Coma Scale官方站点。官方评估体系来源已核验；不能评价的项目保留NT。</w:t>
      </w:r>
    </w:p>
    <w:p>
      <w:r>
        <w:t>https://www.glasgowcomascale.org/</w:t>
      </w:r>
    </w:p>
    <w:p>
      <w:r>
        <w:t>[R25] MoCA official use and interpretation requirements。MoCA Cognition官方说明。培训认证及临床解释限制已核验；不复制受保护题本。</w:t>
      </w:r>
    </w:p>
    <w:p>
      <w:r>
        <w:t>https://mocacognition.com/disclaimer/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[R09] 2022 Guideline for the Management of Patients With Spontaneous Intracerebral Hemorrhage。AHA/ASA；DOI 10.1161/STR.0000000000000407。官方指南及原文检索内容已核验；不可称2026版。</w:t>
      </w:r>
    </w:p>
    <w:p>
      <w:r>
        <w:t>https://www.ahajournals.org/doi/10.1161/STR.0000000000000407</w:t>
      </w:r>
    </w:p>
    <w:p>
      <w:r>
        <w:t>[R10] 2023 Guideline for the Management of Patients With Aneurysmal Subarachnoid Hemorrhage。AHA/ASA；DOI 10.1161/STR.0000000000000436。官方要点已核验；针对动脉瘤性SAH。</w:t>
      </w:r>
    </w:p>
    <w:p>
      <w:r>
        <w:t>https://professional.heart.org/en/science-news/2023-guideline-for-the-management-of-patients-with-aneurysmal-subarachnoid-hemorrhage/top-things-to-know</w:t>
      </w:r>
    </w:p>
    <w:p>
      <w:r>
        <w:t>[R31] 中华神经科杂志指南集锦。中华神经科杂志官方专题。用于国内专病更新检索；具体MS、CIDP、MOGAD及其他诊断标准全文须按院内采用版本补证。</w:t>
      </w:r>
    </w:p>
    <w:p>
      <w:r>
        <w:t>https://www.ecjn.org.cn/topic/14_1.jspx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03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神经系统专科检查与定位诊断模板库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