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神经内科检验影像及神经电生理结果分析模板库</w:t>
      </w:r>
    </w:p>
    <w:p>
      <w:r>
        <w:t>版本 V1.0  |  建立与核验日期 2026年10月25日  |  第二级模块</w:t>
      </w:r>
    </w:p>
    <w:p>
      <w:r>
        <w:t>忠实整理报告，并将定位定性推理与报告原文分层呈现。 本模块提供医师审核前的书写规则与模板；不得替代诊疗授权、真实执行记录、知情沟通或医疗签名。</w:t>
      </w:r>
    </w:p>
    <w:p>
      <w:pPr>
        <w:pStyle w:val="Heading1"/>
      </w:pPr>
      <w:r>
        <w:t>一 模块定位与调用</w:t>
      </w:r>
    </w:p>
    <w:p>
      <w:r>
        <w:t>功能定位：忠实整理报告，并将定位定性推理与报告原文分层呈现。</w:t>
      </w:r>
    </w:p>
    <w:p>
      <w:r>
        <w:t>核心任务：将可追溯的真实资料转化为符合本模块场景的医学分析与文书，并识别影响安全和真实性的缺口。</w:t>
      </w:r>
    </w:p>
    <w:p>
      <w:r>
        <w:t>适用范围：25类检查；影像仅基于提供的真实报告或具备明确判读权限的实际复阅记录。</w:t>
      </w:r>
    </w:p>
    <w:p>
      <w:r>
        <w:t>自动调用条件：用户上传检查文字或图片、请求原文提取、结果分析或比较复查。</w:t>
      </w:r>
    </w:p>
    <w:p>
      <w:pPr>
        <w:pStyle w:val="Heading1"/>
      </w:pPr>
      <w:r>
        <w:t>二 医学书写与分析原则</w:t>
      </w:r>
    </w:p>
    <w:p>
      <w:r>
        <w:t>每条患者事实绑定patient_id、encounter_id、event_time、recorded_at、source_id、author、verification及状态。知识提示、医师计划、实际执行、停用或取消分别储存；未知不等于阴性，未记录不等于未发生。模板和模拟病例中的内容不能继承为患者事实。</w:t>
      </w:r>
    </w:p>
    <w:p>
      <w:r>
        <w:t>先确认身份与就诊，再描述时间进展、神经功能、定位、定性和诊断确定度；诊疗意见只能归属于有实际记录的医师。医学常识不能替代诊断所缺的证据。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r>
        <w:t>本库“结构模板”中的【字段】是建库变量；使用时必须由核实资料替换。若非必需项缺失可删除对应句，必需项缺失则在代码框外提出具体核对项；不得把模板直接当作已完成病历。模拟病例均为虚构，仅用于规则演示，不构成临床医嘱。</w:t>
      </w:r>
    </w:p>
    <w:p>
      <w:pPr>
        <w:pStyle w:val="Heading1"/>
      </w:pPr>
      <w:r>
        <w:t>三 原文整理模式</w:t>
      </w:r>
    </w:p>
    <w:p>
      <w:r>
        <w:t>保留检查名称、患者标识、检查号、检查时间、报告时间、所见和意见；保留否定词、测量、单位、侧别、部位、序列、建议及不确定词。OCR读不清处标“原文不清待核对”并在正式文书外列出，不擅自补字；不得把明显错字静默修改为可能的医学结论。</w:t>
      </w:r>
    </w:p>
    <w:p>
      <w:r>
        <w:t>【文书日期及时间】 检查报告原文整理</w:t>
      </w:r>
    </w:p>
    <w:p>
      <w:pPr>
        <w:pStyle w:val="CodeFence"/>
      </w:pPr>
      <w:r>
        <w:t>```text</w:t>
      </w:r>
    </w:p>
    <w:p>
      <w:pPr>
        <w:pStyle w:val="ClinicalBody"/>
      </w:pPr>
      <w:r>
        <w:t>检查名称：【原名】</w:t>
      </w:r>
    </w:p>
    <w:p>
      <w:pPr>
        <w:pStyle w:val="ClinicalBody"/>
      </w:pPr>
      <w:r>
        <w:t>检查时间：【报告所载】</w:t>
      </w:r>
    </w:p>
    <w:p>
      <w:pPr>
        <w:pStyle w:val="ClinicalBody"/>
      </w:pPr>
      <w:r>
        <w:t>检查所见：【逐字核实原文】</w:t>
      </w:r>
    </w:p>
    <w:p>
      <w:pPr>
        <w:pStyle w:val="ClinicalBody"/>
      </w:pPr>
      <w:r>
        <w:t>诊断意见：【逐字核实原文】</w:t>
      </w:r>
    </w:p>
    <w:p>
      <w:pPr>
        <w:pStyle w:val="CodeFence"/>
      </w:pPr>
      <w:r>
        <w:t>```</w:t>
      </w:r>
    </w:p>
    <w:p>
      <w:pPr>
        <w:pStyle w:val="Heading1"/>
      </w:pPr>
      <w:r>
        <w:t>四 临床分析模式</w:t>
      </w:r>
    </w:p>
    <w:p>
      <w:r>
        <w:t>先列真实结果，再对照症状侧别、神经定位及病程，区分急性/陈旧和偶然/责任病灶；解释动态变化、限制及待证问题。若报告与临床不符，提出复阅或复查需求，不改原报告。不能仅凭影像推断肌力、NIHSS、意识、症状消失或疗效。</w:t>
      </w:r>
    </w:p>
    <w:p>
      <w:r>
        <w:t>【文书日期及时间】 辅助检查临床分析</w:t>
      </w:r>
    </w:p>
    <w:p>
      <w:pPr>
        <w:pStyle w:val="CodeFence"/>
      </w:pPr>
      <w:r>
        <w:t>```text</w:t>
      </w:r>
    </w:p>
    <w:p>
      <w:pPr>
        <w:pStyle w:val="ClinicalBody"/>
      </w:pPr>
      <w:r>
        <w:t>【实际检查及时间】显示【已核实结果】。该结果与【真实症状体征】在【定位及时间】方面【相符或不完全相符】，支持【有依据的临床考虑】，但尚不能确定【病因或功能层面的限制】；后续需【实际拟定的复阅或复查计划】。</w:t>
      </w:r>
    </w:p>
    <w:p>
      <w:pPr>
        <w:pStyle w:val="CodeFence"/>
      </w:pPr>
      <w:r>
        <w:t>```</w:t>
      </w:r>
    </w:p>
    <w:p>
      <w:pPr>
        <w:pStyle w:val="Heading1"/>
      </w:pPr>
      <w:r>
        <w:t>五 二十五类检查的采集与分析</w:t>
      </w:r>
    </w:p>
    <w:p>
      <w:pPr>
        <w:pStyle w:val="Heading2"/>
      </w:pPr>
      <w:r>
        <w:t>01 头颅CT平扫</w:t>
      </w:r>
    </w:p>
    <w:p>
      <w:r>
        <w:t>提取变量：出血、低密度、占位效应、中线、脑积水及后颅窝。临床分析：早期阴性不排除缺血；出血与造影剂染色需结合复查或合适成像鉴别。</w:t>
      </w:r>
    </w:p>
    <w:p>
      <w:r>
        <w:t>结果模板：【实际日期时间】头颅CT平扫：【原始结果】。临床分析：【与本例定位、定性及变化的对应】；限制：【技术或临床证据缺口】。</w:t>
      </w:r>
    </w:p>
    <w:p>
      <w:pPr>
        <w:pStyle w:val="Heading2"/>
      </w:pPr>
      <w:r>
        <w:t>02 头颅MRI</w:t>
      </w:r>
    </w:p>
    <w:p>
      <w:r>
        <w:t>提取变量：序列、病变部位侧别、信号及增强。临床分析：急性慢性、梗死炎症肿瘤依据实际序列与临床，不仅凭“异常信号”定性。</w:t>
      </w:r>
    </w:p>
    <w:p>
      <w:r>
        <w:t>结果模板：【实际日期时间】头颅MRI：【原始结果】。临床分析：【与本例定位、定性及变化的对应】；限制：【技术或临床证据缺口】。</w:t>
      </w:r>
    </w:p>
    <w:p>
      <w:pPr>
        <w:pStyle w:val="Heading2"/>
      </w:pPr>
      <w:r>
        <w:t>03 DWI ADC FLAIR SWI</w:t>
      </w:r>
    </w:p>
    <w:p>
      <w:r>
        <w:t>提取变量：DWI与ADC对应、FLAIR时间特征、SWI出血/微出血。临床分析：DWI高信号须结合ADC，失配只在适当条件解释；不反推确切发病时刻。</w:t>
      </w:r>
    </w:p>
    <w:p>
      <w:r>
        <w:t>结果模板：【实际日期时间】DWI ADC FLAIR SWI：【原始结果】。临床分析：【与本例定位、定性及变化的对应】；限制：【技术或临床证据缺口】。</w:t>
      </w:r>
    </w:p>
    <w:p>
      <w:pPr>
        <w:pStyle w:val="Heading2"/>
      </w:pPr>
      <w:r>
        <w:t>04 头颈CTA</w:t>
      </w:r>
    </w:p>
    <w:p>
      <w:r>
        <w:t>提取变量：血管名称节段、侧别、闭塞/狭窄、夹层、侧支及伪影。临床分析：慢流、钙化和技术限制可能影响判断；报告未给狭窄率不自动计算。</w:t>
      </w:r>
    </w:p>
    <w:p>
      <w:r>
        <w:t>结果模板：【实际日期时间】头颈CTA：【原始结果】。临床分析：【与本例定位、定性及变化的对应】；限制：【技术或临床证据缺口】。</w:t>
      </w:r>
    </w:p>
    <w:p>
      <w:pPr>
        <w:pStyle w:val="Heading2"/>
      </w:pPr>
      <w:r>
        <w:t>05 MRA</w:t>
      </w:r>
    </w:p>
    <w:p>
      <w:r>
        <w:t>提取变量：TOF或增强方式、血管与信号缺损。临床分析：TOF信号丢失可由慢流等造成，不机械等于完全闭塞。</w:t>
      </w:r>
    </w:p>
    <w:p>
      <w:r>
        <w:t>结果模板：【实际日期时间】MRA：【原始结果】。临床分析：【与本例定位、定性及变化的对应】；限制：【技术或临床证据缺口】。</w:t>
      </w:r>
    </w:p>
    <w:p>
      <w:pPr>
        <w:pStyle w:val="Heading2"/>
      </w:pPr>
      <w:r>
        <w:t>06 DSA</w:t>
      </w:r>
    </w:p>
    <w:p>
      <w:r>
        <w:t>提取变量：实际造影范围、入路、血管、病变、侧支及动态结果。临床分析：诊断性造影与治疗不同；血管再通和组织灌注不同；术中事实来源必须独立。</w:t>
      </w:r>
    </w:p>
    <w:p>
      <w:r>
        <w:t>结果模板：【实际日期时间】DSA：【原始结果】。临床分析：【与本例定位、定性及变化的对应】；限制：【技术或临床证据缺口】。</w:t>
      </w:r>
    </w:p>
    <w:p>
      <w:pPr>
        <w:pStyle w:val="Heading2"/>
      </w:pPr>
      <w:r>
        <w:t>07 CT灌注成像</w:t>
      </w:r>
    </w:p>
    <w:p>
      <w:r>
        <w:t>提取变量：软件版本、阈值、核心/低灌注体积、时间参数及质量。临床分析：运动、延迟与覆盖限制需标记；软件阈值不能跨平台直接替换。</w:t>
      </w:r>
    </w:p>
    <w:p>
      <w:r>
        <w:t>结果模板：【实际日期时间】CT灌注成像：【原始结果】。临床分析：【与本例定位、定性及变化的对应】；限制：【技术或临床证据缺口】。</w:t>
      </w:r>
    </w:p>
    <w:p>
      <w:pPr>
        <w:pStyle w:val="Heading2"/>
      </w:pPr>
      <w:r>
        <w:t>08 MR灌注成像</w:t>
      </w:r>
    </w:p>
    <w:p>
      <w:r>
        <w:t>提取变量：灌注方法、DWI体积、失配及技术质量。临床分析：保留测量方法和原始单位；选择条件依特定指南，不由一项失配自动批准治疗。</w:t>
      </w:r>
    </w:p>
    <w:p>
      <w:r>
        <w:t>结果模板：【实际日期时间】MR灌注成像：【原始结果】。临床分析：【与本例定位、定性及变化的对应】；限制：【技术或临床证据缺口】。</w:t>
      </w:r>
    </w:p>
    <w:p>
      <w:pPr>
        <w:pStyle w:val="Heading2"/>
      </w:pPr>
      <w:r>
        <w:t>09 颈动脉超声</w:t>
      </w:r>
    </w:p>
    <w:p>
      <w:r>
        <w:t>提取变量：左右分段、斑块性质、流速及采用狭窄标准。临床分析：超声分级与NASCET测量不直接互换；记录研究室标准。</w:t>
      </w:r>
    </w:p>
    <w:p>
      <w:r>
        <w:t>结果模板：【实际日期时间】颈动脉超声：【原始结果】。临床分析：【与本例定位、定性及变化的对应】；限制：【技术或临床证据缺口】。</w:t>
      </w:r>
    </w:p>
    <w:p>
      <w:pPr>
        <w:pStyle w:val="Heading2"/>
      </w:pPr>
      <w:r>
        <w:t>10 经颅多普勒</w:t>
      </w:r>
    </w:p>
    <w:p>
      <w:r>
        <w:t>提取变量：声窗、流速方向、狭窄/栓子监测及时间。临床分析：速度增快不总是狭窄；SAH场景需区分痉挛筛查和临床DCI。</w:t>
      </w:r>
    </w:p>
    <w:p>
      <w:r>
        <w:t>结果模板：【实际日期时间】经颅多普勒：【原始结果】。临床分析：【与本例定位、定性及变化的对应】；限制：【技术或临床证据缺口】。</w:t>
      </w:r>
    </w:p>
    <w:p>
      <w:pPr>
        <w:pStyle w:val="Heading2"/>
      </w:pPr>
      <w:r>
        <w:t>11 CTV MRV</w:t>
      </w:r>
    </w:p>
    <w:p>
      <w:r>
        <w:t>提取变量：静脉窦及皮质/深静脉、充盈缺损、变异和实质病变。临床分析：慢流及发育变异需排除；阴性D-二聚体不能单独排CVT。</w:t>
      </w:r>
    </w:p>
    <w:p>
      <w:r>
        <w:t>结果模板：【实际日期时间】CTV MRV：【原始结果】。临床分析：【与本例定位、定性及变化的对应】；限制：【技术或临床证据缺口】。</w:t>
      </w:r>
    </w:p>
    <w:p>
      <w:pPr>
        <w:pStyle w:val="Heading2"/>
      </w:pPr>
      <w:r>
        <w:t>12 常规脑电图</w:t>
      </w:r>
    </w:p>
    <w:p>
      <w:r>
        <w:t>提取变量：背景、异常放电位置、频率、激活及药物。临床分析：痫样放电不等于当时临床发作，常规阴性不排除癫痫。</w:t>
      </w:r>
    </w:p>
    <w:p>
      <w:r>
        <w:t>结果模板：【实际日期时间】常规脑电图：【原始结果】。临床分析：【与本例定位、定性及变化的对应】；限制：【技术或临床证据缺口】。</w:t>
      </w:r>
    </w:p>
    <w:p>
      <w:pPr>
        <w:pStyle w:val="Heading2"/>
      </w:pPr>
      <w:r>
        <w:t>13 视频脑电监测</w:t>
      </w:r>
    </w:p>
    <w:p>
      <w:r>
        <w:t>提取变量：临床事件与脑电时间关联、视频表现及记录时长。临床分析：区分电发作、发作间期放电与非癫痫事件；无事件捕获不能定性所有发作。</w:t>
      </w:r>
    </w:p>
    <w:p>
      <w:r>
        <w:t>结果模板：【实际日期时间】视频脑电监测：【原始结果】。临床分析：【与本例定位、定性及变化的对应】；限制：【技术或临床证据缺口】。</w:t>
      </w:r>
    </w:p>
    <w:p>
      <w:pPr>
        <w:pStyle w:val="Heading2"/>
      </w:pPr>
      <w:r>
        <w:t>14 肌电图</w:t>
      </w:r>
    </w:p>
    <w:p>
      <w:r>
        <w:t>提取变量：选测肌肉、静息自发电位、运动单位及募集。临床分析：受病程和采样限制；失神经改变结合根/丛/神经分布，不直接等同ALS。</w:t>
      </w:r>
    </w:p>
    <w:p>
      <w:r>
        <w:t>结果模板：【实际日期时间】肌电图：【原始结果】。临床分析：【与本例定位、定性及变化的对应】；限制：【技术或临床证据缺口】。</w:t>
      </w:r>
    </w:p>
    <w:p>
      <w:pPr>
        <w:pStyle w:val="Heading2"/>
      </w:pPr>
      <w:r>
        <w:t>15 神经传导检查</w:t>
      </w:r>
    </w:p>
    <w:p>
      <w:r>
        <w:t>提取变量：神经、侧别、波幅、速度、潜伏期、传导阻滞及皮温。临床分析：轴索与脱髓鞘需满足所用标准；单条速度慢不能确诊CIDP。</w:t>
      </w:r>
    </w:p>
    <w:p>
      <w:r>
        <w:t>结果模板：【实际日期时间】神经传导检查：【原始结果】。临床分析：【与本例定位、定性及变化的对应】；限制：【技术或临床证据缺口】。</w:t>
      </w:r>
    </w:p>
    <w:p>
      <w:pPr>
        <w:pStyle w:val="Heading2"/>
      </w:pPr>
      <w:r>
        <w:t>16 诱发电位</w:t>
      </w:r>
    </w:p>
    <w:p>
      <w:r>
        <w:t>提取变量：视觉/体感/听觉模态、潜伏期、波形和实验室参考值。临床分析：异常支持通路受损，不能单项决定病因；视力与听力及技术影响记录。</w:t>
      </w:r>
    </w:p>
    <w:p>
      <w:r>
        <w:t>结果模板：【实际日期时间】诱发电位：【原始结果】。临床分析：【与本例定位、定性及变化的对应】；限制：【技术或临床证据缺口】。</w:t>
      </w:r>
    </w:p>
    <w:p>
      <w:pPr>
        <w:pStyle w:val="Heading2"/>
      </w:pPr>
      <w:r>
        <w:t>17 腰椎穿刺及脑脊液</w:t>
      </w:r>
    </w:p>
    <w:p>
      <w:r>
        <w:t>提取变量：适应性、出血/脑疝风险、穿刺时间体位压力单位、细胞生化病原。临床分析：禁忌证先评估；同步血糖解释CSF糖；创伤性血性标本不能直接认定SAH。</w:t>
      </w:r>
    </w:p>
    <w:p>
      <w:r>
        <w:t>结果模板：【实际日期时间】腰椎穿刺及脑脊液：【原始结果】。临床分析：【与本例定位、定性及变化的对应】；限制：【技术或临床证据缺口】。</w:t>
      </w:r>
    </w:p>
    <w:p>
      <w:pPr>
        <w:pStyle w:val="Heading2"/>
      </w:pPr>
      <w:r>
        <w:t>18 免疫学检查</w:t>
      </w:r>
    </w:p>
    <w:p>
      <w:r>
        <w:t>提取变量：样本、检测方法、滴度、参考范围、抽血及治疗时间。临床分析：低滴度或单项阳性不自动确诊；免疫治疗会影响结果。</w:t>
      </w:r>
    </w:p>
    <w:p>
      <w:r>
        <w:t>结果模板：【实际日期时间】免疫学检查：【原始结果】。临床分析：【与本例定位、定性及变化的对应】；限制：【技术或临床证据缺口】。</w:t>
      </w:r>
    </w:p>
    <w:p>
      <w:pPr>
        <w:pStyle w:val="Heading2"/>
      </w:pPr>
      <w:r>
        <w:t>19 自身抗体及神经系统相关抗体</w:t>
      </w:r>
    </w:p>
    <w:p>
      <w:r>
        <w:t>提取变量：AQP4/MOG、神经元抗体、AChR/MuSK等样本及方法。临床分析：血清/CSF及检测平台重要；需临床表型吻合并排除假阳性。</w:t>
      </w:r>
    </w:p>
    <w:p>
      <w:r>
        <w:t>结果模板：【实际日期时间】自身抗体及神经系统相关抗体：【原始结果】。临床分析：【与本例定位、定性及变化的对应】；限制：【技术或临床证据缺口】。</w:t>
      </w:r>
    </w:p>
    <w:p>
      <w:pPr>
        <w:pStyle w:val="Heading2"/>
      </w:pPr>
      <w:r>
        <w:t>20 血常规生化凝血感染指标</w:t>
      </w:r>
    </w:p>
    <w:p>
      <w:r>
        <w:t>提取变量：采样与报告时间、数值单位、参考范围及趋势。临床分析：异常值核对标本与药物；INR不能衡量全部DOAC作用。</w:t>
      </w:r>
    </w:p>
    <w:p>
      <w:r>
        <w:t>结果模板：【实际日期时间】血常规生化凝血感染指标：【原始结果】。临床分析：【与本例定位、定性及变化的对应】；限制：【技术或临床证据缺口】。</w:t>
      </w:r>
    </w:p>
    <w:p>
      <w:pPr>
        <w:pStyle w:val="Heading2"/>
      </w:pPr>
      <w:r>
        <w:t>21 血糖血脂同型半胱氨酸</w:t>
      </w:r>
    </w:p>
    <w:p>
      <w:r>
        <w:t>提取变量：即时/空腹、单位、既往比较及风险语境。临床分析：高血糖可能应激；危险因素不等于卒中责任病因。</w:t>
      </w:r>
    </w:p>
    <w:p>
      <w:r>
        <w:t>结果模板：【实际日期时间】血糖血脂同型半胱氨酸：【原始结果】。临床分析：【与本例定位、定性及变化的对应】；限制：【技术或临床证据缺口】。</w:t>
      </w:r>
    </w:p>
    <w:p>
      <w:pPr>
        <w:pStyle w:val="Heading2"/>
      </w:pPr>
      <w:r>
        <w:t>22 心电图及动态心电图</w:t>
      </w:r>
    </w:p>
    <w:p>
      <w:r>
        <w:t>提取变量：节律类型、持续/负荷、记录时段及判读。临床分析：一次窦律不排阵发房颤，不能从心悸推断房颤。</w:t>
      </w:r>
    </w:p>
    <w:p>
      <w:r>
        <w:t>结果模板：【实际日期时间】心电图及动态心电图：【原始结果】。临床分析：【与本例定位、定性及变化的对应】；限制：【技术或临床证据缺口】。</w:t>
      </w:r>
    </w:p>
    <w:p>
      <w:pPr>
        <w:pStyle w:val="Heading2"/>
      </w:pPr>
      <w:r>
        <w:t>23 超声心动图</w:t>
      </w:r>
    </w:p>
    <w:p>
      <w:r>
        <w:t>提取变量：腔室瓣膜、血栓、功能、分流方式及原报告。临床分析：潜在栓子来源不自动等于责任栓源；PFO需结合其他病因及专科评估。</w:t>
      </w:r>
    </w:p>
    <w:p>
      <w:r>
        <w:t>结果模板：【实际日期时间】超声心动图：【原始结果】。临床分析：【与本例定位、定性及变化的对应】；限制：【技术或临床证据缺口】。</w:t>
      </w:r>
    </w:p>
    <w:p>
      <w:pPr>
        <w:pStyle w:val="Heading2"/>
      </w:pPr>
      <w:r>
        <w:t>24 脑血管病病因筛查</w:t>
      </w:r>
    </w:p>
    <w:p>
      <w:r>
        <w:t>提取变量：血管、心源性、危险因素及其他病因证据。临床分析：TOAST分型保留证据充分度、多病因及检查未全，不能按单项风险因素定型。</w:t>
      </w:r>
    </w:p>
    <w:p>
      <w:r>
        <w:t>结果模板：【实际日期时间】脑血管病病因筛查：【原始结果】。临床分析：【与本例定位、定性及变化的对应】；限制：【技术或临床证据缺口】。</w:t>
      </w:r>
    </w:p>
    <w:p>
      <w:pPr>
        <w:pStyle w:val="Heading2"/>
      </w:pPr>
      <w:r>
        <w:t>25 其他神经内科特殊检查</w:t>
      </w:r>
    </w:p>
    <w:p>
      <w:r>
        <w:t>提取变量：检查目的、方法、样本、时间、原结论及质量。临床分析：遗传、PET、神经肌肉活检等需专业解释和相关沟通，不超出已核验范围。</w:t>
      </w:r>
    </w:p>
    <w:p>
      <w:r>
        <w:t>结果模板：【实际日期时间】其他神经内科特殊检查：【原始结果】。临床分析：【与本例定位、定性及变化的对应】；限制：【技术或临床证据缺口】。</w:t>
      </w:r>
    </w:p>
    <w:p>
      <w:pPr>
        <w:pStyle w:val="Heading1"/>
      </w:pPr>
      <w:r>
        <w:t>六 跨模态与动态比较</w:t>
      </w:r>
    </w:p>
    <w:p>
      <w:r>
        <w:t>比较顺序：先同患者同住院次，再确认检查时点、技术和评价对象。CTA与DSA可能因时间间隔及治疗而不同；MRI序列不同不能简单称病灶扩大；术后CT高密度应保留报告的出血/对比剂外渗鉴别；狭窄率必须同时记录NASCET、WASID或其他明确方法及测量段。</w:t>
      </w:r>
    </w:p>
    <w:p>
      <w:pPr>
        <w:pStyle w:val="Heading1"/>
      </w:pPr>
      <w:r>
        <w:t>七 典型模拟病例</w:t>
      </w:r>
    </w:p>
    <w:p>
      <w:r>
        <w:t>虚构输入：N030，CTA报告“左侧M1段显影不佳，考虑重度狭窄或闭塞”，没有百分比；临床右偏瘫。</w:t>
      </w:r>
    </w:p>
    <w:p>
      <w:r>
        <w:t>2026年10月25日 09:00 脑血管影像分析</w:t>
      </w:r>
    </w:p>
    <w:p>
      <w:pPr>
        <w:pStyle w:val="CodeFence"/>
      </w:pPr>
      <w:r>
        <w:t>```text</w:t>
      </w:r>
    </w:p>
    <w:p>
      <w:pPr>
        <w:pStyle w:val="ClinicalBody"/>
      </w:pPr>
      <w:r>
        <w:t>头颈CTA提示左侧大脑中动脉M1段显影不佳，报告考虑重度狭窄或闭塞。该病变与右侧偏瘫在供血区域上具有相关性，但现有报告尚不能区分重度狭窄与完全闭塞，亦未提供可核实的狭窄百分比；责任血管判断仍需结合实际神经检查及进一步血管评估。</w:t>
      </w:r>
    </w:p>
    <w:p>
      <w:pPr>
        <w:pStyle w:val="CodeFence"/>
      </w:pPr>
      <w:r>
        <w:t>```</w:t>
      </w:r>
    </w:p>
    <w:p>
      <w:pPr>
        <w:pStyle w:val="Heading1"/>
      </w:pPr>
      <w:r>
        <w:t>禁止事项与常见错误</w:t>
      </w:r>
    </w:p>
    <w:p>
      <w:r>
        <w:t>禁止复制模拟病例数据；禁止补全未查神经体征、量表、影像、器械、治疗时间、抗栓执行、会诊意见和签名。常见错误包括将未记录当作阴性、将拟行写成已完成、将较早查体当作今日查体、把报告推断写入报告原文。</w:t>
      </w:r>
    </w:p>
    <w:p>
      <w:pPr>
        <w:pStyle w:val="Heading1"/>
      </w:pPr>
      <w:r>
        <w:t>质量控制与模块协同</w:t>
      </w:r>
    </w:p>
    <w:p>
      <w:r>
        <w:t>01负责最高真实性与格式约束，11负责患者隔离、事件状态和最小路由，02负责文书骨架，03负责定位及量表，04负责报告证据，05负责围介入结构，06负责危重事件，07负责治疗状态，08负责三级查房，09负责功能与随访；101—108仅加载相关专病，最终统一经10审核。</w:t>
      </w:r>
    </w:p>
    <w:p>
      <w:r>
        <w:t>逐项确认：身份及本次住院正确；所有事实有来源与时间；左右侧及血管节段一致；计划与执行分离；评分不推测；疗效与并发症有证据；文书正文无占位符；日期标题与正文分离。重要冲突未解除时输出核对清单，不生成误导性的确定结论。</w:t>
      </w:r>
    </w:p>
    <w:p>
      <w:pPr>
        <w:pStyle w:val="Heading1"/>
      </w:pPr>
      <w:r>
        <w:t>指南与资料来源</w:t>
      </w:r>
    </w:p>
    <w:p>
      <w:r>
        <w:t>核验基准日为2026年10月25日。以下“已核验”仅指所写明的范围；检索未见更新不等于不存在更新。国际指南需结合中国规范、获批适应证、院内流程及医师判断。无具体推荐原文及等级依据时，标记“具体条目与证据等级待核验”，不得自行补成Ⅰ类或A级。</w:t>
      </w:r>
    </w:p>
    <w:p>
      <w:r>
        <w:t>[R05] 中国急性缺血性卒中诊治指南2023。中华医学会神经病学分会及脑血管病学组；中华神经科杂志，2024，57（6）：523–559；DOI 10.3760/cma.j.cn113694-20240410-00221。题录与原刊署名PDF已核验；版本名2023、发表年2024；未检获可确认的同名新版，不宣称绝对最新。</w:t>
      </w:r>
    </w:p>
    <w:p>
      <w:r>
        <w:t>https://doi.org/10.3760/cma.j.cn113694-20240410-00221</w:t>
      </w:r>
    </w:p>
    <w:p>
      <w:r>
        <w:t>[R06] 急性缺血性卒中血管内治疗中国指南2023。中国卒中学会；DOI 10.3969/j.issn.1673-5765.2023.06.010。学会发布已核验；与2025技术共识分别保留。</w:t>
      </w:r>
    </w:p>
    <w:p>
      <w:r>
        <w:t>https://chinastroke.kejie.org.cn/a110.html</w:t>
      </w:r>
    </w:p>
    <w:p>
      <w:r>
        <w:t>[R08] 2026 Guideline for the Early Management of Patients With Acute Ischemic Stroke。AHA/ASA，2026-01-26在线发表；DOI 10.1161/STR.0000000000000513。AHA官方指南页与更新要点已核验；原文检索片段可核验部分推荐，未核验等级不赋值。</w:t>
      </w:r>
    </w:p>
    <w:p>
      <w:r>
        <w:t>https://professional.heart.org/en/science-news/2026-guideline-for-the-early-management-of-patients-with-acute-ischemic-stroke</w:t>
      </w:r>
    </w:p>
    <w:p>
      <w:r>
        <w:t>[R23] NIH Stroke Scale。NINDS官方量表手册。官方量表来源已核验；逐项评分需受训评估者完成。</w:t>
      </w:r>
    </w:p>
    <w:p>
      <w:r>
        <w:t>https://www.ninds.nih.gov/sites/default/files/migrate-documents/nih_stroke_scale_booklet_508c.pdf</w:t>
      </w:r>
    </w:p>
    <w:p>
      <w:r>
        <w:t>[R26] Diagnosis and Management of Cerebral Venous Thrombosis。AHA科学声明，2024；DOI 10.1161/STR.0000000000000456。原始声明题录及管理范围已核验。</w:t>
      </w:r>
    </w:p>
    <w:p>
      <w:r>
        <w:t>https://www.ahajournals.org/doi/pdf/10.1161/STR.0000000000000456</w:t>
      </w:r>
    </w:p>
    <w:p>
      <w:r>
        <w:t>[R27] Canadian Stroke Best Practice Recommendations Cerebral Venous Thrombosis 2024。Canadian Stroke Best Practices，第7版，2024。原始指南影像与分阶段管理建议已核验。</w:t>
      </w:r>
    </w:p>
    <w:p>
      <w:r>
        <w:t>https://www.cambridge.org/core/journals/canadian-journal-of-neurological-sciences/article/canadian-stroke-best-practice-recommendations-7th-edition-cerebral-venous-thrombosis-2024/7CBC520E3EA55FE604E692D340D31CE1</w:t>
      </w:r>
    </w:p>
    <w:p>
      <w:r>
        <w:t>[R19] NEMOS revised recommendations Part I Diagnosis and differential diagnosis。NEMOS，2023；DOI 10.1007/s00415-023-11634-0。原始共识诊断章节已核验。</w:t>
      </w:r>
    </w:p>
    <w:p>
      <w:r>
        <w:t>https://doi.org/10.1007/s00415-023-11634-0</w:t>
      </w:r>
    </w:p>
    <w:p>
      <w:r>
        <w:t>[R21] WHO guidelines on meningitis diagnosis treatment and care。WHO，2025-04-10；ISBN 978-92-4-010804-2。官方指南及NCBI所载建议已核验；社区获得性脑膜炎，不直接覆盖全部脑炎及院内感染。</w:t>
      </w:r>
    </w:p>
    <w:p>
      <w:r>
        <w:t>https://www.who.int/publications/i/item/9789240108042</w:t>
      </w:r>
    </w:p>
    <w:p>
      <w:pPr>
        <w:pStyle w:val="Heading1"/>
      </w:pPr>
      <w:r>
        <w:t>更新与维护说明</w:t>
      </w:r>
    </w:p>
    <w:p>
      <w:r>
        <w:t>版本责任由科室指定的临床负责人、介入负责人和病案质控人员共同承担。至少每季度核验来源，指南、药品说明书或院内制度更新时立即复审相关阈值、禁忌证、术式授权和模板；记录旧版、变更理由、来源、审校人及生效日期。所有更新须重跑10模块30项模拟验收；修正原规则及全部受影响交叉引用后再发布。</w:t>
      </w:r>
    </w:p>
    <w:p>
      <w:r>
        <w:t>本交付物是Word规则与模板库。自动路由、状态管理及质控以文字协议供AI执行；未部署数据库、电子病历接口或后台调度器。新会话须显式提供当前患者状态及所需模块，不能声称已读取未提供的Word文件。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04  神经内科病历书写系统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Songti SC" w:hAnsi="Songti SC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Songti SC" w:hAnsi="Songti SC" w:eastAsia="Songti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20"/>
      <w:contextualSpacing/>
    </w:pPr>
    <w:rPr>
      <w:rFonts w:ascii="Songti SC" w:hAnsi="Songti SC" w:eastAsia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icalBody">
    <w:name w:val="Clinical Body"/>
    <w:basedOn w:val="Normal"/>
    <w:pPr>
      <w:spacing w:after="60" w:before="0"/>
    </w:pPr>
    <w:rPr>
      <w:rFonts w:ascii="Songti SC" w:hAnsi="Songti SC" w:eastAsia="Songti SC"/>
    </w:rPr>
  </w:style>
  <w:style w:type="paragraph" w:customStyle="1" w:styleId="CodeFence">
    <w:name w:val="Code Fence"/>
    <w:basedOn w:val="Normal"/>
    <w:pPr>
      <w:spacing w:after="60" w:before="0"/>
    </w:pPr>
    <w:rPr>
      <w:rFonts w:ascii="Songti SC" w:hAnsi="Songti SC" w:eastAsia="Songti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神经内科检验影像及神经电生理结果分析模板库</dc:title>
  <dc:subject>神经内科与神经介入医学文书规则及模板</dc:subject>
  <dc:creator>病历模板库</dc:creator>
  <cp:keywords>规则库 医师审核 真实病例资料 神经内科 神经介入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