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神经内科治疗决策溶栓抗栓及医嘱表达规则库</w:t>
      </w:r>
    </w:p>
    <w:p>
      <w:r>
        <w:t>版本 V1.0  |  建立与核验日期 2026年10月25日  |  第二级模块</w:t>
      </w:r>
    </w:p>
    <w:p>
      <w:r>
        <w:t>严格管理医学知识、医师方案、医嘱和实际用药的转换证据。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功能定位：严格管理医学知识、医师方案、医嘱和实际用药的转换证据。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适用范围：25类治疗决策与执行文书；不给缺乏患者条件的自动处方。</w:t>
      </w:r>
    </w:p>
    <w:p>
      <w:r>
        <w:t>自动调用条件：涉及溶栓、取栓、抗栓、免疫、抗感染、神经专科药物及支持治疗。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四类状态及证据门槛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592"/>
        <w:gridCol w:w="5328"/>
      </w:tblGrid>
      <w:tr>
        <w:trPr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表达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必须有的证据</w:t>
            </w:r>
          </w:p>
        </w:tc>
      </w:tr>
      <w:tr>
        <w:trPr/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 医学知识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某类患者可考虑某治疗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明确来源、版本与人群，仅作分析</w:t>
            </w:r>
          </w:p>
        </w:tc>
      </w:tr>
      <w:tr>
        <w:trPr/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 医师拟定方案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拟/建议/计划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真实医师意见；不是实际执行</w:t>
            </w:r>
          </w:p>
        </w:tc>
      </w:tr>
      <w:tr>
        <w:trPr/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 已实施治疗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已予/已接受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药物执行、输注或操作记录，剂量途径时间齐全</w:t>
            </w:r>
          </w:p>
        </w:tc>
      </w:tr>
      <w:tr>
        <w:trPr/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D 停用或变更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已停/暂停/已调整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原因、决定者、起止时间及执行证据</w:t>
            </w:r>
          </w:p>
        </w:tc>
      </w:tr>
    </w:tbl>
    <w:p>
      <w:r>
        <w:t>已开立医嘱是独立中间状态：有处方不等于已给药。若医嘱与执行不一致，应分别记载并提示核对，不选择对病历更有利的一方。</w:t>
      </w:r>
    </w:p>
    <w:p>
      <w:pPr>
        <w:pStyle w:val="Heading1"/>
      </w:pPr>
      <w:r>
        <w:t>四 二十五类决策规则与正文模板</w:t>
      </w:r>
    </w:p>
    <w:p>
      <w:pPr>
        <w:pStyle w:val="Heading2"/>
      </w:pPr>
      <w:r>
        <w:t>01 缺血性卒中一般治疗</w:t>
      </w:r>
    </w:p>
    <w:p>
      <w:r>
        <w:t>决策所需：气道氧合、血糖、体温、吞咽、活动及VTE风险。医学规则：根据真实状态记录支持治疗，不对无低氧患者自动写给氧，不对所有患者强行早期高强度活动。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气道氧合、血糖、体温、吞咽、活动及VTE风险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02 静脉溶栓评估</w:t>
      </w:r>
    </w:p>
    <w:p>
      <w:r>
        <w:t>决策所需：致残性缺损、发病/最后正常时间、影像排血、血压、出血及抗凝信息。医学规则：时间窗只是条件之一；核对体重、药品说明书、剂量、禁忌证、知情及执行时间，药物选型遵守具体版本。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致残性缺损、发病/最后正常时间、影像排血、血压、出血及抗凝信息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03 血管内治疗决策</w:t>
      </w:r>
    </w:p>
    <w:p>
      <w:r>
        <w:t>决策所需：实际LVO影像、基线功能、缺损、核心/灌注、时间、资源与获益。医学规则：前后循环、大小核心及远端闭塞分开；不将所有闭塞自动纳入取栓。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实际LVO影像、基线功能、缺损、核心/灌注、时间、资源与获益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04 抗血小板治疗</w:t>
      </w:r>
    </w:p>
    <w:p>
      <w:r>
        <w:t>决策所需：病因、出血排除、过敏、溶栓/介入时间及胃肠风险。医学规则：非心源性二级预防与支架用药场景不同；写明开始、停用或变更事实。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病因、出血排除、过敏、溶栓/介入时间及胃肠风险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05 双联抗血小板治疗</w:t>
      </w:r>
    </w:p>
    <w:p>
      <w:r>
        <w:t>决策所需：明确适应证、起始时点、组合、预定疗程及出血风险。医学规则：轻型卒中/TIA短程与血管支架方案不可混用，不能默认所有卒中双联或长期双联。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明确适应证、起始时点、组合、预定疗程及出血风险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06 抗凝治疗</w:t>
      </w:r>
    </w:p>
    <w:p>
      <w:r>
        <w:t>决策所需：房颤/静脉病等适应证、梗死范围、出血、肝肾功能、相互作用及末次药物。医学规则：不能因脑梗死常规抗凝；房颤相关卒中开始时间由风险和实际医师决定，INR正常不能排除DOAC作用。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房颤/静脉病等适应证、梗死范围、出血、肝肾功能、相互作用及末次药物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07 抗栓禁忌及风险</w:t>
      </w:r>
    </w:p>
    <w:p>
      <w:r>
        <w:t>决策所需：活动性出血、血小板、凝血、合并用药、跌倒、消化道及近期操作。医学规则：抗凝＋双联的三联风险须个体化审查，不能为了支架自动叠加所有药。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活动性出血、血小板、凝血、合并用药、跌倒、消化道及近期操作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08 溶栓前后管理</w:t>
      </w:r>
    </w:p>
    <w:p>
      <w:r>
        <w:t>决策所需：药物实际执行、生命体征神经复评、出血及复查。医学规则：通常在溶栓后24小时复查排出血再评估抗栓；如因支架等特殊情况提前，必须记录专科风险获益及真实决策，不由模板授权。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药物实际执行、生命体征神经复评、出血及复查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09 取栓前后管理</w:t>
      </w:r>
    </w:p>
    <w:p>
      <w:r>
        <w:t>决策所需：再灌注、残余狭窄、麻醉、血压及神经变化。医学规则：术后目标个体化；2026 AHA官方要点不支持为改善结局常规强化降收缩压至140mmHg以下，不据此反推本例目标。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再灌注、残余狭窄、麻醉、血压及神经变化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10 脑出血相关治疗</w:t>
      </w:r>
    </w:p>
    <w:p>
      <w:r>
        <w:t>决策所需：血压、凝血相关病因、占位脑积水和外科意见。医学规则：记录实际止血逆转、支持与外科评估；不得默认输血小板或糖皮质激素治疗脑出血颅压。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血压、凝血相关病因、占位脑积水和外科意见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11 血压个体化管理</w:t>
      </w:r>
    </w:p>
    <w:p>
      <w:r>
        <w:t>决策所需：卒中类型、溶栓/介入阶段、灌注及重要共病。医学规则：目标值需来源、医师和时点，避免把缺血性与出血性病种目标互换。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卒中类型、溶栓/介入阶段、灌注及重要共病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12 血糖管理</w:t>
      </w:r>
    </w:p>
    <w:p>
      <w:r>
        <w:t>决策所需：实测趋势、营养、降糖药、肾功能及低血糖史。医学规则：纠正低血糖后复查神经功能；避免把强化低血糖目标写成普遍有益。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实测趋势、营养、降糖药、肾功能及低血糖史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13 血脂管理</w:t>
      </w:r>
    </w:p>
    <w:p>
      <w:r>
        <w:t>决策所需：病因、基线及随访血脂、肝肌风险和实际药物。医学规则：记录药物强度、耐受及目标来源，不由卒中名称自动填固定剂量。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病因、基线及随访血脂、肝肌风险和实际药物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14 卒中二级预防</w:t>
      </w:r>
    </w:p>
    <w:p>
      <w:r>
        <w:t>决策所需：病因分型、血压血脂血糖、烟酒、运动及房颤等。医学规则：预防计划应与最终病因和实际用药一致，不将TOAST未定强行归为动脉粥样硬化。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病因分型、血压血脂血糖、烟酒、运动及房颤等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15 抗癫痫发作药物</w:t>
      </w:r>
    </w:p>
    <w:p>
      <w:r>
        <w:t>决策所需：发作类型、诱因、妊娠、相互作用、器官功能及依从性。医学规则：区分急性止痫和长期维持；停换药须记录递减方案与风险，不突然擅停，育龄人群生殖风险个体化。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发作类型、诱因、妊娠、相互作用、器官功能及依从性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16 帕金森病药物</w:t>
      </w:r>
    </w:p>
    <w:p>
      <w:r>
        <w:t>决策所需：具体药物时间表、开关期、异动症、精神及体位低血压。医学规则：住院按真实服药时点核对，避免无故中断；不把镇静或多巴胺阻断药自动视为通用谵妄治疗。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具体药物时间表、开关期、异动症、精神及体位低血压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17 神经免疫治疗</w:t>
      </w:r>
    </w:p>
    <w:p>
      <w:r>
        <w:t>决策所需：临床表型、抗体电生理、活动度、感染、疫苗及器官风险。医学规则：MS、NMOSD、MOGAD、GBS、CIDP和MG方案不同；GBS不能套用激素为有效标准治疗；免疫治疗不自动确认自身免疫病。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临床表型、抗体电生理、活动度、感染、疫苗及器官风险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18 感染性神经病治疗</w:t>
      </w:r>
    </w:p>
    <w:p>
      <w:r>
        <w:t>决策所需：感染表型、病原样本、免疫状态、过敏及肾功能。医学规则：疑似细菌性脑膜炎不得因等待腰穿或影像延误必要经验治疗；真实采样与用药先后分别记录，方案依当地耐药及年龄免疫风险。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感染表型、病原样本、免疫状态、过敏及肾功能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19 神经病理性疼痛</w:t>
      </w:r>
    </w:p>
    <w:p>
      <w:r>
        <w:t>决策所需：神经分布、睡眠、跌倒、肾功能与相互作用。医学规则：辨别神经病理性与伤害感受性，记录疗效和嗜睡等不良反应，不能以疼痛名称自动开药。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神经分布、睡眠、跌倒、肾功能与相互作用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20 营养吞咽及呼吸支持</w:t>
      </w:r>
    </w:p>
    <w:p>
      <w:r>
        <w:t>决策所需：吞咽筛查、进食途径、营养风险、气道及呼吸肌。医学规则：禁食、胃管或呼吸支持只能记录已决定或已执行状态，隐性误吸需进一步评估。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吞咽筛查、进食途径、营养风险、气道及呼吸肌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21 脑水肿相关治疗</w:t>
      </w:r>
    </w:p>
    <w:p>
      <w:r>
        <w:t>决策所需：意识瞳孔、影像占位、渗透、电解质肾功能和容量。医学规则：脱水治疗需适应性和监测，不作为无水肿患者默认预防措施；外科协作以真实意见记录。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意识瞳孔、影像占位、渗透、电解质肾功能和容量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22 介入术后用药</w:t>
      </w:r>
    </w:p>
    <w:p>
      <w:r>
        <w:t>决策所需：术式、实际植入物、破裂状态、影像及出血风险。医学规则：纯造影、取栓无植入物、颈动脉支架、支架辅助栓塞和血流导向装置分别评估，不统一套用同一抗栓方案。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术式、实际植入物、破裂状态、影像及出血风险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23 药物调整及停药</w:t>
      </w:r>
    </w:p>
    <w:p>
      <w:r>
        <w:t>决策所需：调整理由、旧新剂量、起止时间、处方与执行。医学规则：保留已停用、暂停、取消、拒绝、漏服等状态，不能覆盖为继续原方案。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调整理由、旧新剂量、起止时间、处方与执行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24 治疗风险获益</w:t>
      </w:r>
    </w:p>
    <w:p>
      <w:r>
        <w:t>决策所需：病因确定度、近期危险、预期获益、替代方式和患者意愿。医学规则：真实记录权衡及不确定性，不把本库知识当作医师已经决策。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病因确定度、近期危险、预期获益、替代方式和患者意愿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2"/>
      </w:pPr>
      <w:r>
        <w:t>25 特殊人群治疗</w:t>
      </w:r>
    </w:p>
    <w:p>
      <w:r>
        <w:t>决策所需：年龄、妊娠哺乳、体重、肝肾功能、认知、衰弱及器官支持。医学规则：成人推荐不能自动套儿童；药物剂量调整和监测必须依具体药品说明书及专科意见。</w:t>
      </w:r>
    </w:p>
    <w:p>
      <w:r>
        <w:t>【文书日期及时间】 治疗评估及执行记录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实际问题】评估【年龄、妊娠哺乳、体重、肝肾功能、认知、衰弱及器官支持】，结果为【真实资料】。医师已记录的治疗意见为【方案及状态】，现已执行【实际药物或操作、剂量、途径、频次及时间】，反应【真实情况】；调整或暂停【实际内容和原因】，后续监测【本例具体项目】。</w:t>
      </w:r>
    </w:p>
    <w:p>
      <w:pPr>
        <w:pStyle w:val="CodeFence"/>
      </w:pPr>
      <w:r>
        <w:t>```</w:t>
      </w:r>
    </w:p>
    <w:p>
      <w:pPr>
        <w:pStyle w:val="Heading1"/>
      </w:pPr>
      <w:r>
        <w:t>五 高风险用药核对字段</w:t>
      </w:r>
    </w:p>
    <w:p>
      <w:r>
        <w:t>药物通用名、制剂及浓度、适应证、体重及获取时间、单次/总剂量、途径、速度、频次、开始结束、肝肾功能、过敏、相互作用、出血风险、复查及执行者来源缺一即按其重要程度提示。剂量单位mg、g、μg及mg/kg不得混淆；不默认患者体重，不将国际指南药物选择解释为国内已获批。</w:t>
      </w:r>
    </w:p>
    <w:p>
      <w:pPr>
        <w:pStyle w:val="Heading1"/>
      </w:pPr>
      <w:r>
        <w:t>六 典型模拟病例</w:t>
      </w:r>
    </w:p>
    <w:p>
      <w:r>
        <w:t>虚构输入：医师建议阿司匹林联合氯吡格雷，实际执行单只记录阿司匹林，未记录氯吡格雷剂量和执行；不得写“已予双联抗血小板”。</w:t>
      </w:r>
    </w:p>
    <w:p>
      <w:r>
        <w:t>2026年10月25日 09:00 治疗状态记录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现有执行资料仅能确认已使用阿司匹林；医师提出联合氯吡格雷治疗的建议，氯吡格雷的处方剂量及实际执行尚待核实。后续需结合出血风险、既往治疗及明确适应证核对抗栓方案。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[R04] 脑血管病防治指南（2024年版）。国家卫生健康委，2024。官方发布及适用防治范围已核验。</w:t>
      </w:r>
    </w:p>
    <w:p>
      <w:r>
        <w:t>https://www.nhc.gov.cn/ylyjs/zcwj/202412/ba037e931fff4870930f65ff667ea9ed.shtml</w:t>
      </w:r>
    </w:p>
    <w:p>
      <w:r>
        <w:t>[R05] 中国急性缺血性卒中诊治指南2023。中华医学会神经病学分会及脑血管病学组；中华神经科杂志，2024，57（6）：523–559；DOI 10.3760/cma.j.cn113694-20240410-00221。题录与原刊署名PDF已核验；版本名2023、发表年2024；未检获可确认的同名新版，不宣称绝对最新。</w:t>
      </w:r>
    </w:p>
    <w:p>
      <w:r>
        <w:t>https://doi.org/10.3760/cma.j.cn113694-20240410-00221</w:t>
      </w:r>
    </w:p>
    <w:p>
      <w:r>
        <w:t>[R06] 急性缺血性卒中血管内治疗中国指南2023。中国卒中学会；DOI 10.3969/j.issn.1673-5765.2023.06.010。学会发布已核验；与2025技术共识分别保留。</w:t>
      </w:r>
    </w:p>
    <w:p>
      <w:r>
        <w:t>https://chinastroke.kejie.org.cn/a110.html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r>
        <w:t>[R09] 2022 Guideline for the Management of Patients With Spontaneous Intracerebral Hemorrhage。AHA/ASA；DOI 10.1161/STR.0000000000000407。官方指南及原文检索内容已核验；不可称2026版。</w:t>
      </w:r>
    </w:p>
    <w:p>
      <w:r>
        <w:t>https://www.ahajournals.org/doi/10.1161/STR.0000000000000407</w:t>
      </w:r>
    </w:p>
    <w:p>
      <w:r>
        <w:t>[R12] Antiplatelets and antithrombotics in neurointerventional procedures Guideline update。SNIS，J NeuroIntervent Surg，2023，15：1155–1162；DOI 10.1136/jnis-2022-019844。原刊题录及部分原文已核验；个体化抗栓，不自动套用全术式。</w:t>
      </w:r>
    </w:p>
    <w:p>
      <w:r>
        <w:t>https://jnis.bmj.com/content/15/11/1155</w:t>
      </w:r>
    </w:p>
    <w:p>
      <w:r>
        <w:t>[R14] Epilepsies in children young people and adults NG217。NICE，2022，官网显示最近更新2025-01-30。官方急救章节已核验；英国用药可及性不能直接代替国内说明书。</w:t>
      </w:r>
    </w:p>
    <w:p>
      <w:r>
        <w:t>https://www.nice.org.uk/guidance/ng217/chapter/7-Treating-status-epilepticus-repeated-or-cluster-seizures-and-prolonged-seizures</w:t>
      </w:r>
    </w:p>
    <w:p>
      <w:r>
        <w:t>[R15] Parkinson disease in adults NG71。NICE，2017，引用官网现行页面。官方建议页已核验；不据此虚构国内药品适应证。</w:t>
      </w:r>
    </w:p>
    <w:p>
      <w:r>
        <w:t>https://www.nice.org.uk/guidance/ng71/chapter/Recommendations</w:t>
      </w:r>
    </w:p>
    <w:p>
      <w:r>
        <w:t>[R17] EAN PNS Guideline on diagnosis and treatment of Guillain Barré syndrome。EAN/PNS，2023；DOI 10.1111/ene.16073。EAN官方指南汇编及2023指南题录已核验。</w:t>
      </w:r>
    </w:p>
    <w:p>
      <w:r>
        <w:t>https://www.ean.org/fileadmin/user_upload/ean/ean/research/EAN_Guidelines/Infographic_Guidelines_2025_Online_version.pdf</w:t>
      </w:r>
    </w:p>
    <w:p>
      <w:r>
        <w:t>[R18] International Consensus Guidance for Management of Myasthenia Gravis 2020 Update。Neurology，2021；PMID 33144515。原始共识全文可访问；2020为更新名称，2021为发表年。</w:t>
      </w:r>
    </w:p>
    <w:p>
      <w:r>
        <w:t>https://pmc.ncbi.nlm.nih.gov/articles/PMC7884987/</w:t>
      </w:r>
    </w:p>
    <w:p>
      <w:r>
        <w:t>[R21] WHO guidelines on meningitis diagnosis treatment and care。WHO，2025-04-10；ISBN 978-92-4-010804-2。官方指南及NCBI所载建议已核验；社区获得性脑膜炎，不直接覆盖全部脑炎及院内感染。</w:t>
      </w:r>
    </w:p>
    <w:p>
      <w:r>
        <w:t>https://www.who.int/publications/i/item/9789240108042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07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神经内科治疗决策溶栓抗栓及医嘱表达规则库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