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神经内科三级医师查房决策与层级表达模板库</w:t>
      </w:r>
    </w:p>
    <w:p>
      <w:r>
        <w:t>版本 V1.0  |  建立与核验日期 2026年10月25日  |  第二级模块</w:t>
      </w:r>
    </w:p>
    <w:p>
      <w:r>
        <w:t>呈现不同层级医师已经形成的真实分析与决策，不代替医师发言。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功能定位：呈现不同层级医师已经形成的真实分析与决策，不代替医师发言。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适用范围：13类场景，每类提供三个层级的不同重点。</w:t>
      </w:r>
    </w:p>
    <w:p>
      <w:r>
        <w:t>自动调用条件：任何主治、副主任或主任医师查房以及重要诊断或方案变更。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层级差异与归属</w:t>
      </w:r>
    </w:p>
    <w:p>
      <w:r>
        <w:t>主治医师：当日问题及近期执行。核对已有诊断依据，分析新检查与症状的关系，核实已执行治疗、近期反应及具体观察计划。</w:t>
      </w:r>
    </w:p>
    <w:p>
      <w:r>
        <w:t>副主任医师：定位病因及方案优化。复核定位定性、严重程度与病因证据，分析原方案局限、风险及并发症预防，明确是否需调整和补证。</w:t>
      </w:r>
    </w:p>
    <w:p>
      <w:r>
        <w:t>主任医师：复杂机制及重大方向。复核复杂诊断和相互矛盾证据，权衡重大治疗与替代策略、介入路径和资源，说明功能预后不确定性及下一阶段方向。</w:t>
      </w:r>
    </w:p>
    <w:p>
      <w:r>
        <w:t>医师姓名、职称、到场及意见必须真实。资料不足时可输出“拟供某层级医师审阅的分析草稿”，不得写“某主任指示”或“已同意手术”。每个层级必须基于实际意见补充，禁止将同一文本只换姓名或职称。</w:t>
      </w:r>
    </w:p>
    <w:p>
      <w:pPr>
        <w:pStyle w:val="Heading1"/>
      </w:pPr>
      <w:r>
        <w:t>四 十三场景与分层模板</w:t>
      </w:r>
    </w:p>
    <w:p>
      <w:pPr>
        <w:pStyle w:val="Heading2"/>
      </w:pPr>
      <w:r>
        <w:t>01 首次三级医师查房</w:t>
      </w:r>
    </w:p>
    <w:p>
      <w:r>
        <w:t>本场景关键资料：主要症候群、定位定性、初始诊断与待证据。决策问题：诊断路径、优先检查及短期目标。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诊断路径、优先检查及短期目标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诊断路径、优先检查及短期目标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诊断路径、优先检查及短期目标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02 普通病程查房</w:t>
      </w:r>
    </w:p>
    <w:p>
      <w:r>
        <w:t>本场景关键资料：今日神经功能、症状、新结果与执行。决策问题：当前问题、治疗反应和下一观察节点。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当前问题、治疗反应和下一观察节点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当前问题、治疗反应和下一观察节点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当前问题、治疗反应和下一观察节点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03 脑卒中急性期查房</w:t>
      </w:r>
    </w:p>
    <w:p>
      <w:r>
        <w:t>本场景关键资料：最后正常、影像、致残缺损和治疗状态。决策问题：时间敏感策略、卒中机制与出血风险。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时间敏感策略、卒中机制与出血风险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时间敏感策略、卒中机制与出血风险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时间敏感策略、卒中机制与出血风险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04 静脉溶栓后查房</w:t>
      </w:r>
    </w:p>
    <w:p>
      <w:r>
        <w:t>本场景关键资料：实际给药时间、神经变化、血压出血和复查。决策问题：疗效与风险、后续抗栓时机依据。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疗效与风险、后续抗栓时机依据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疗效与风险、后续抗栓时机依据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疗效与风险、后续抗栓时机依据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05 介入术前查房</w:t>
      </w:r>
    </w:p>
    <w:p>
      <w:r>
        <w:t>本场景关键资料：责任病变、筛选、基线功能、准备和同意。决策问题：介入与替代方式的风险获益及真实授权。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介入与替代方式的风险获益及真实授权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介入与替代方式的风险获益及真实授权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介入与替代方式的风险获益及真实授权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06 机械取栓术后查房</w:t>
      </w:r>
    </w:p>
    <w:p>
      <w:r>
        <w:t>本场景关键资料：实际技术、最终造影、再灌注、神经功能及用药。决策问题：再通与组织灌注差别、恶化鉴别及后续监护。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再通与组织灌注差别、恶化鉴别及后续监护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再通与组织灌注差别、恶化鉴别及后续监护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再通与组织灌注差别、恶化鉴别及后续监护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07 颅内动脉瘤介入术后查房</w:t>
      </w:r>
    </w:p>
    <w:p>
      <w:r>
        <w:t>本场景关键资料：破裂状态、栓塞结果、载瘤血管、出血缺血及抗栓。决策问题：残留/延迟闭塞、引流冲突、复查及再治疗方向。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残留/延迟闭塞、引流冲突、复查及再治疗方向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残留/延迟闭塞、引流冲突、复查及再治疗方向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残留/延迟闭塞、引流冲突、复查及再治疗方向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08 神经功能恶化查房</w:t>
      </w:r>
    </w:p>
    <w:p>
      <w:r>
        <w:t>本场景关键资料：确切恶化时间、可比查体、血糖与影像。决策问题：出血、缺血进展、再闭塞、癫痫及代谢的优先鉴别。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出血、缺血进展、再闭塞、癫痫及代谢的优先鉴别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出血、缺血进展、再闭塞、癫痫及代谢的优先鉴别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出血、缺血进展、再闭塞、癫痫及代谢的优先鉴别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09 神经重症查房</w:t>
      </w:r>
    </w:p>
    <w:p>
      <w:r>
        <w:t>本场景关键资料：气道呼吸循环、意识瞳孔、ICP证据与镇静。决策问题：多器官协作、治疗限度实际沟通及功能预后不确定性。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多器官协作、治疗限度实际沟通及功能预后不确定性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多器官协作、治疗限度实际沟通及功能预后不确定性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多器官协作、治疗限度实际沟通及功能预后不确定性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10 脑血管影像复阅查房</w:t>
      </w:r>
    </w:p>
    <w:p>
      <w:r>
        <w:t>本场景关键资料：真实影像来源、病变部位、症状对应及技术限制。决策问题：责任血管与偶然病变、追加检查是否改变决策。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责任血管与偶然病变、追加检查是否改变决策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责任血管与偶然病变、追加检查是否改变决策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责任血管与偶然病变、追加检查是否改变决策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11 重要诊断变更查房</w:t>
      </w:r>
    </w:p>
    <w:p>
      <w:r>
        <w:t>本场景关键资料：新证据、原诊断、变更原因与确定度。决策问题：修正对药物、介入、出院及病案编码的影响。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修正对药物、介入、出院及病案编码的影响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修正对药物、介入、出院及病案编码的影响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修正对药物、介入、出院及病案编码的影响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12 重大治疗调整查房</w:t>
      </w:r>
    </w:p>
    <w:p>
      <w:r>
        <w:t>本场景关键资料：原方案执行、新风险和拟调整事项。决策问题：获益风险、替代方案、沟通与执行追踪。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获益风险、替代方案、沟通与执行追踪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获益风险、替代方案、沟通与执行追踪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获益风险、替代方案、沟通与执行追踪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2"/>
      </w:pPr>
      <w:r>
        <w:t>13 出院前查房</w:t>
      </w:r>
    </w:p>
    <w:p>
      <w:r>
        <w:t>本场景关键资料：最终诊断、实际功能、带药、照护与复查。决策问题：出院可行性、危险症状、长期二级预防及随访责任。</w:t>
      </w:r>
    </w:p>
    <w:p>
      <w:pPr>
        <w:pStyle w:val="Heading3"/>
      </w:pPr>
      <w:r>
        <w:t>主治医师正文模板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真实症状及变化】。查体【当次真实神经功能及生命体征】，辅助检查【实际新结果】。【实际姓名】主治医师分析：【围绕当日问题及近期执行记录真实意见，具体包括核对已有诊断依据，分析新检查与症状的关系，核实已执行治疗、近期反应及具体观察计划；结合本场景出院可行性、危险症状、长期二级预防及随访责任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副主任医师正文模板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症状及变化】。查体【当次真实神经功能及生命体征】，辅助检查【实际新结果】。【实际姓名】副主任医师分析：【围绕定位病因及方案优化记录真实意见，具体包括复核定位定性、严重程度与病因证据，分析原方案局限、风险及并发症预防，明确是否需调整和补证；结合本场景出院可行性、危险症状、长期二级预防及随访责任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3"/>
      </w:pPr>
      <w:r>
        <w:t>主任医师正文模板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症状及变化】。查体【当次真实神经功能及生命体征】，辅助检查【实际新结果】。【实际姓名】主任医师分析：【围绕复杂机制及重大方向记录真实意见，具体包括复核复杂诊断和相互矛盾证据，权衡重大治疗与替代策略、介入路径和资源，说明功能预后不确定性及下一阶段方向；结合本场景出院可行性、危险症状、长期二级预防及随访责任】。目前治疗状态【真实执行及未落实事项】，后续按已记录意见【具体计划与监测】。</w:t>
      </w:r>
    </w:p>
    <w:p>
      <w:pPr>
        <w:pStyle w:val="CodeFence"/>
      </w:pPr>
      <w:r>
        <w:t>```</w:t>
      </w:r>
    </w:p>
    <w:p>
      <w:pPr>
        <w:pStyle w:val="Heading1"/>
      </w:pPr>
      <w:r>
        <w:t>五 典型模拟主任查房</w:t>
      </w:r>
    </w:p>
    <w:p>
      <w:r>
        <w:t>虚构资料：N060，取栓后，术者实际报告左M1开通、eTICI2b67；今日仍失语，右上肢2级。模拟主任明确提出残余组织低灌注与出血鉴别需影像核实，未批准追加手术。</w:t>
      </w:r>
    </w:p>
    <w:p>
      <w:r>
        <w:t>2026年10月25日 09:00 模拟主任医师查房记录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模拟主任医师查房，患者取栓后仍失语，右上肢肌力2级。术中报告左侧大脑中动脉M1段已开通，eTICI评为2b67。模拟主任医师分析：血管开通及部分再灌注不能等同神经功能恢复，当前残余缺损仍需结合组织损伤、残余低灌注及出血相关影像进一步分析；暂不能据此认定需再次介入。后续需按实际决策完善影像与神经功能复评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[R01] 病历书写基本规范。卫生部，2010，卫医政发〔2010〕11号。官方发布题录与规范要求已核验。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医疗质量安全核心制度要点。国家卫生健康委员会，2018。官方发布及核心要求已核验。</w:t>
      </w:r>
    </w:p>
    <w:p>
      <w:r>
        <w:t>https://www.nhc.gov.cn/yzygj/c100068/201804/42ab2552298047679cd6ec733f233862.shtml</w:t>
      </w:r>
    </w:p>
    <w:p>
      <w:r>
        <w:t>[R05] 中国急性缺血性卒中诊治指南2023。中华医学会神经病学分会及脑血管病学组；中华神经科杂志，2024，57（6）：523–559；DOI 10.3760/cma.j.cn113694-20240410-00221。题录与原刊署名PDF已核验；版本名2023、发表年2024；未检获可确认的同名新版，不宣称绝对最新。</w:t>
      </w:r>
    </w:p>
    <w:p>
      <w:r>
        <w:t>https://doi.org/10.3760/cma.j.cn113694-20240410-00221</w:t>
      </w:r>
    </w:p>
    <w:p>
      <w:r>
        <w:t>[R06] 急性缺血性卒中血管内治疗中国指南2023。中国卒中学会；DOI 10.3969/j.issn.1673-5765.2023.06.010。学会发布已核验；与2025技术共识分别保留。</w:t>
      </w:r>
    </w:p>
    <w:p>
      <w:r>
        <w:t>https://chinastroke.kejie.org.cn/a110.html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r>
        <w:t>[R11] 中国破裂颅内动脉瘤临床管理指南（2024版）。中华医学会神经外科学分会等；DOI 10.3760/cma.j.cn112137-20240222-00374。学会官方发布及范围已核验；112条意见不在本库逐字复制。</w:t>
      </w:r>
    </w:p>
    <w:p>
      <w:r>
        <w:t>https://cns.cma.org.cn/art/2024/6/11/art_2196_56955.html</w:t>
      </w:r>
    </w:p>
    <w:p>
      <w:r>
        <w:t>[R18] International Consensus Guidance for Management of Myasthenia Gravis 2020 Update。Neurology，2021；PMID 33144515。原始共识全文可访问；2020为更新名称，2021为发表年。</w:t>
      </w:r>
    </w:p>
    <w:p>
      <w:r>
        <w:t>https://pmc.ncbi.nlm.nih.gov/articles/PMC7884987/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08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神经内科三级医师查房决策与层级表达模板库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