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神经康复吞咽功能管理及出院随访模板库</w:t>
      </w:r>
    </w:p>
    <w:p>
      <w:r>
        <w:t>版本 V1.0  |  建立与核验日期 2026年10月25日  |  第二级模块</w:t>
      </w:r>
    </w:p>
    <w:p>
      <w:r>
        <w:t>将实际功能、吞咽营养、照护能力和长期随访转为可执行出院文书。 本模块提供医师审核前的书写规则与模板；不得替代诊疗授权、真实执行记录、知情沟通或医疗签名。</w:t>
      </w:r>
    </w:p>
    <w:p>
      <w:pPr>
        <w:pStyle w:val="Heading1"/>
      </w:pPr>
      <w:r>
        <w:t>一 模块定位与调用</w:t>
      </w:r>
    </w:p>
    <w:p>
      <w:r>
        <w:t>功能定位：将实际功能、吞咽营养、照护能力和长期随访转为可执行出院文书。</w:t>
      </w:r>
    </w:p>
    <w:p>
      <w:r>
        <w:t>核心任务：将可追溯的真实资料转化为符合本模块场景的医学分析与文书，并识别影响安全和真实性的缺口。</w:t>
      </w:r>
    </w:p>
    <w:p>
      <w:r>
        <w:t>适用范围：卒中及非卒中神经患者，含介入后远期管理。</w:t>
      </w:r>
    </w:p>
    <w:p>
      <w:r>
        <w:t>自动调用条件：康复、神经功能动态、吞咽、出院准备和术后随访。</w:t>
      </w:r>
    </w:p>
    <w:p>
      <w:pPr>
        <w:pStyle w:val="Heading1"/>
      </w:pPr>
      <w:r>
        <w:t>二 医学书写与分析原则</w:t>
      </w:r>
    </w:p>
    <w:p>
      <w:r>
        <w:t>每条患者事实绑定patient_id、encounter_id、event_time、recorded_at、source_id、author、verification及状态。知识提示、医师计划、实际执行、停用或取消分别储存；未知不等于阴性，未记录不等于未发生。模板和模拟病例中的内容不能继承为患者事实。</w:t>
      </w:r>
    </w:p>
    <w:p>
      <w:r>
        <w:t>先确认身份与就诊，再描述时间进展、神经功能、定位、定性和诊断确定度；诊疗意见只能归属于有实际记录的医师。医学常识不能替代诊断所缺的证据。</w:t>
      </w:r>
    </w:p>
    <w:p>
      <w:r>
        <w:t>所有医学文书按“代码框外的日期时间及标题＋独立Markdown代码框内的正文”输出。框内不重复文书日期或标题，不放“医学文书正文”标签、AI解释或前言。日常病程、术后病程和三级医师查房必须是连续一整段，无空行、无分条、无多余空格；入院、出院、讨论和抢救等固定栏目文书保留必要结构。正文中的既往事件时间仅在临床必需时表达，不得把本次文书日期再作为题头写入框内。未核实内容在框外提示，最终正文不得含【占位符】。</w:t>
      </w:r>
    </w:p>
    <w:p>
      <w:r>
        <w:t>本库“结构模板”中的【字段】是建库变量；使用时必须由核实资料替换。若非必需项缺失可删除对应句，必需项缺失则在代码框外提出具体核对项；不得把模板直接当作已完成病历。模拟病例均为虚构，仅用于规则演示，不构成临床医嘱。</w:t>
      </w:r>
    </w:p>
    <w:p>
      <w:pPr>
        <w:pStyle w:val="Heading1"/>
      </w:pPr>
      <w:r>
        <w:t>三 二十四类功能与随访场景</w:t>
      </w:r>
    </w:p>
    <w:p>
      <w:pPr>
        <w:pStyle w:val="Heading2"/>
      </w:pPr>
      <w:r>
        <w:t>01 脑卒中早期康复</w:t>
      </w:r>
    </w:p>
    <w:p>
      <w:r>
        <w:t>评估字段：生命体征、神经稳定性、耐受及治疗禁忌。书写规则：根据真实安全评估安排强度，不按发病天数自动开展高强度训练。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脑卒中早期康复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02 神经功能恢复评估</w:t>
      </w:r>
    </w:p>
    <w:p>
      <w:r>
        <w:t>评估字段：可比查体、量表、评估时点及辅助条件。书写规则：区分主诉改善与客观功能改善。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神经功能恢复评估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03 肢体肌力恢复</w:t>
      </w:r>
    </w:p>
    <w:p>
      <w:r>
        <w:t>评估字段：分组肌力、张力、关节活动、疼痛及代偿。书写规则：活动幅度增加不等于肌力升一级。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肢体肌力恢复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04 步态训练</w:t>
      </w:r>
    </w:p>
    <w:p>
      <w:r>
        <w:t>评估字段：站立耐受、辅助器具、协助程度及距离。书写规则：先记安全和跌倒风险，不能因能站立写独立行走。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步态训练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05 平衡训练</w:t>
      </w:r>
    </w:p>
    <w:p>
      <w:r>
        <w:t>评估字段：坐立位、静动态平衡、支持及跌倒。书写规则：描述任务和帮助，不自动生成量表。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平衡训练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06 言语康复</w:t>
      </w:r>
    </w:p>
    <w:p>
      <w:r>
        <w:t>评估字段：失语/构音、理解表达、疲劳及沟通方式。书写规则：不同语言障碍目标不同，必要时替代沟通。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言语康复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07 认知康复</w:t>
      </w:r>
    </w:p>
    <w:p>
      <w:r>
        <w:t>评估字段：注意记忆执行、病前功能、谵妄及照护。书写规则：认知筛查与真实生活功能同时跟踪。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认知康复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08 吞咽功能评估</w:t>
      </w:r>
    </w:p>
    <w:p>
      <w:r>
        <w:t>评估字段：筛查时间、能力、口腔气道、饮食及分泌物。书写规则：高危者进一步FEES/VFSS适应性评估，不能用无呛咳排除隐性误吸。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吞咽功能评估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09 误吸预防</w:t>
      </w:r>
    </w:p>
    <w:p>
      <w:r>
        <w:t>评估字段：体位、进食途径、口腔管理、清醒及照护。书写规则：记录具体已落实措施，不能默认口服安全。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误吸预防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10 意识障碍患者协作</w:t>
      </w:r>
    </w:p>
    <w:p>
      <w:r>
        <w:t>评估字段：觉醒、姿势、皮肤、气道、家属及护理沟通。书写规则：康复评估与生命支持协同，不能虚构清醒恢复。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意识障碍患者协作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11 卧床并发症预防</w:t>
      </w:r>
    </w:p>
    <w:p>
      <w:r>
        <w:t>评估字段：皮肤、关节、痉挛、VTE、肺部和营养。书写规则：风险及已发生并发症分开。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卧床并发症预防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12 营养管理</w:t>
      </w:r>
    </w:p>
    <w:p>
      <w:r>
        <w:t>评估字段：体重、摄入、吞咽、途径、电解质与营养风险。书写规则：营养方案和已实际摄入分别记录。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营养管理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13 二级预防</w:t>
      </w:r>
    </w:p>
    <w:p>
      <w:r>
        <w:t>评估字段：病因、危险因素、抗栓、依从性和生活方式。书写规则：与最终诊断及实际带药一致。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二级预防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14 卒中出院评估</w:t>
      </w:r>
    </w:p>
    <w:p>
      <w:r>
        <w:t>评估字段：神经功能、生活能力、照护环境、设备及随访。书写规则：不能以住院时长代替可出院评估。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卒中出院评估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15 NIHSS动态变化</w:t>
      </w:r>
    </w:p>
    <w:p>
      <w:r>
        <w:t>评估字段：两次分项、时间、评估者及混杂因素。书写规则：缺一端不算改善分值。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NIHSS动态变化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16 mRS功能结局</w:t>
      </w:r>
    </w:p>
    <w:p>
      <w:r>
        <w:t>评估字段：卒中前、出院或90日、步行及照护。书写规则：不同评估节点标清，不从NIHSS换算。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mRS功能结局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17 Barthel指数与ADL</w:t>
      </w:r>
    </w:p>
    <w:p>
      <w:r>
        <w:t>评估字段：版本、十项实际表现和帮助。书写规则：版本不同不直接比较总分。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Barthel指数与ADL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18 癫痫长期管理</w:t>
      </w:r>
    </w:p>
    <w:p>
      <w:r>
        <w:t>评估字段：发作日记、依从性、诱因、药物不良反应及急救计划。书写规则：驾驶和工作活动遵守当地现行要求，不虚构法定期限。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癫痫长期管理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19 帕金森病长期管理</w:t>
      </w:r>
    </w:p>
    <w:p>
      <w:r>
        <w:t>评估字段：开关期、跌倒、吞咽、便秘、体位血压及照护。书写规则：药物时间表精准传递，避免无故中断。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帕金森病长期管理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20 认知障碍长期管理</w:t>
      </w:r>
    </w:p>
    <w:p>
      <w:r>
        <w:t>评估字段：认知与行为、照护负担、走失、药物及能力。书写规则：知情能力按具体决定评估，不因诊断一概否定。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认知障碍长期管理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21 介入术后复查</w:t>
      </w:r>
    </w:p>
    <w:p>
      <w:r>
        <w:t>评估字段：本次及各次操作、实际植入物、复查目的与风险。书写规则：按术式和病变个体化安排，不统一固定周期。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介入术后复查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22 血管影像随访</w:t>
      </w:r>
    </w:p>
    <w:p>
      <w:r>
        <w:t>评估字段：超声/CTA/MRA/DSA选择、肾功能及装置伪影。书写规则：复查方法和期限由实际医师确认，DSA不自动用于所有人。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血管影像随访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23 抗栓随访</w:t>
      </w:r>
    </w:p>
    <w:p>
      <w:r>
        <w:t>评估字段：真实处方疗程、出血、依从性及支架风险。书写规则：不得自行停药，若出血需及时就诊评估；不以建议替代正式停药决定。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抗栓随访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2"/>
      </w:pPr>
      <w:r>
        <w:t>24 出院医嘱及警戒症状</w:t>
      </w:r>
    </w:p>
    <w:p>
      <w:r>
        <w:t>评估字段：药物详细字段、康复、复诊、联系及急诊条件。书写规则：突发偏瘫失语、剧烈新头痛、意识下降、呼吸困难、持续抽搐或显著出血需及时急诊。</w:t>
      </w:r>
    </w:p>
    <w:p>
      <w:r>
        <w:t>【文书日期及时间】 功能及随访记录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【出院医嘱及警戒症状相关实际状态】，已完成评估【项目、时间及结果】，主要限制为【真实问题】。已落实【具体措施及反应】，后续由【实际负责团队】按【已确定的时间或条件】复评【具体项目】，照护与风险告知【实际内容和状态】。</w:t>
      </w:r>
    </w:p>
    <w:p>
      <w:pPr>
        <w:pStyle w:val="CodeFence"/>
      </w:pPr>
      <w:r>
        <w:t>```</w:t>
      </w:r>
    </w:p>
    <w:p>
      <w:pPr>
        <w:pStyle w:val="Heading1"/>
      </w:pPr>
      <w:r>
        <w:t>四 个体化出院核对</w:t>
      </w:r>
    </w:p>
    <w:p>
      <w:r>
        <w:t>逐药核对通用名、剂量、途径、频次、疗程、开始停止与适应证；明确是否需支架相关抗栓及谁负责变更。复查单写病变、目的、方法、时间或触发条件及负责科室，不凭模板默认三个月DSA。记录照护者实际能力和设备需求，不虚构已完成教育或家属承诺。</w:t>
      </w:r>
    </w:p>
    <w:p>
      <w:pPr>
        <w:pStyle w:val="Heading1"/>
      </w:pPr>
      <w:r>
        <w:t>五 典型模拟病例</w:t>
      </w:r>
    </w:p>
    <w:p>
      <w:r>
        <w:t>虚构输入：N070，取栓后右侧肌力改善主诉，未重新检查；吞咽筛查未完成。出院前不能写独立行走、正常饮食或mRS1。</w:t>
      </w:r>
    </w:p>
    <w:p>
      <w:r>
        <w:t>2026年10月25日 09:00 出院前功能评估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患者诉右侧肢体活动较前改善，但尚缺本次客观肌力、步态及日常生活能力评估，不能据此确认独立行走或给出mRS评分。吞咽筛查尚未完成，进食安全及营养途径需由诊疗团队进一步评估后明确。</w:t>
      </w:r>
    </w:p>
    <w:p>
      <w:pPr>
        <w:pStyle w:val="CodeFence"/>
      </w:pPr>
      <w:r>
        <w:t>```</w:t>
      </w:r>
    </w:p>
    <w:p>
      <w:pPr>
        <w:pStyle w:val="Heading1"/>
      </w:pPr>
      <w:r>
        <w:t>禁止事项与常见错误</w:t>
      </w:r>
    </w:p>
    <w:p>
      <w:r>
        <w:t>禁止复制模拟病例数据；禁止补全未查神经体征、量表、影像、器械、治疗时间、抗栓执行、会诊意见和签名。常见错误包括将未记录当作阴性、将拟行写成已完成、将较早查体当作今日查体、把报告推断写入报告原文。</w:t>
      </w:r>
    </w:p>
    <w:p>
      <w:pPr>
        <w:pStyle w:val="Heading1"/>
      </w:pPr>
      <w:r>
        <w:t>质量控制与模块协同</w:t>
      </w:r>
    </w:p>
    <w:p>
      <w:r>
        <w:t>01负责最高真实性与格式约束，11负责患者隔离、事件状态和最小路由，02负责文书骨架，03负责定位及量表，04负责报告证据，05负责围介入结构，06负责危重事件，07负责治疗状态，08负责三级查房，09负责功能与随访；101—108仅加载相关专病，最终统一经10审核。</w:t>
      </w:r>
    </w:p>
    <w:p>
      <w:r>
        <w:t>逐项确认：身份及本次住院正确；所有事实有来源与时间；左右侧及血管节段一致；计划与执行分离；评分不推测；疗效与并发症有证据；文书正文无占位符；日期标题与正文分离。重要冲突未解除时输出核对清单，不生成误导性的确定结论。</w:t>
      </w:r>
    </w:p>
    <w:p>
      <w:pPr>
        <w:pStyle w:val="Heading1"/>
      </w:pPr>
      <w:r>
        <w:t>指南与资料来源</w:t>
      </w:r>
    </w:p>
    <w:p>
      <w:r>
        <w:t>核验基准日为2026年10月25日。以下“已核验”仅指所写明的范围；检索未见更新不等于不存在更新。国际指南需结合中国规范、获批适应证、院内流程及医师判断。无具体推荐原文及等级依据时，标记“具体条目与证据等级待核验”，不得自行补成Ⅰ类或A级。</w:t>
      </w:r>
    </w:p>
    <w:p>
      <w:r>
        <w:t>[R04] 脑血管病防治指南（2024年版）。国家卫生健康委，2024。官方发布及适用防治范围已核验。</w:t>
      </w:r>
    </w:p>
    <w:p>
      <w:r>
        <w:t>https://www.nhc.gov.cn/ylyjs/zcwj/202412/ba037e931fff4870930f65ff667ea9ed.shtml</w:t>
      </w:r>
    </w:p>
    <w:p>
      <w:r>
        <w:t>[R05] 中国急性缺血性卒中诊治指南2023。中华医学会神经病学分会及脑血管病学组；中华神经科杂志，2024，57（6）：523–559；DOI 10.3760/cma.j.cn113694-20240410-00221。题录与原刊署名PDF已核验；版本名2023、发表年2024；未检获可确认的同名新版，不宣称绝对最新。</w:t>
      </w:r>
    </w:p>
    <w:p>
      <w:r>
        <w:t>https://doi.org/10.3760/cma.j.cn113694-20240410-00221</w:t>
      </w:r>
    </w:p>
    <w:p>
      <w:r>
        <w:t>[R08] 2026 Guideline for the Early Management of Patients With Acute Ischemic Stroke。AHA/ASA，2026-01-26在线发表；DOI 10.1161/STR.0000000000000513。AHA官方指南页与更新要点已核验；原文检索片段可核验部分推荐，未核验等级不赋值。</w:t>
      </w:r>
    </w:p>
    <w:p>
      <w:r>
        <w:t>https://professional.heart.org/en/science-news/2026-guideline-for-the-early-management-of-patients-with-acute-ischemic-stroke</w:t>
      </w:r>
    </w:p>
    <w:p>
      <w:r>
        <w:t>[R11] 中国破裂颅内动脉瘤临床管理指南（2024版）。中华医学会神经外科学分会等；DOI 10.3760/cma.j.cn112137-20240222-00374。学会官方发布及范围已核验；112条意见不在本库逐字复制。</w:t>
      </w:r>
    </w:p>
    <w:p>
      <w:r>
        <w:t>https://cns.cma.org.cn/art/2024/6/11/art_2196_56955.html</w:t>
      </w:r>
    </w:p>
    <w:p>
      <w:r>
        <w:t>[R14] Epilepsies in children young people and adults NG217。NICE，2022，官网显示最近更新2025-01-30。官方急救章节已核验；英国用药可及性不能直接代替国内说明书。</w:t>
      </w:r>
    </w:p>
    <w:p>
      <w:r>
        <w:t>https://www.nice.org.uk/guidance/ng217/chapter/7-Treating-status-epilepticus-repeated-or-cluster-seizures-and-prolonged-seizures</w:t>
      </w:r>
    </w:p>
    <w:p>
      <w:r>
        <w:t>[R15] Parkinson disease in adults NG71。NICE，2017，引用官网现行页面。官方建议页已核验；不据此虚构国内药品适应证。</w:t>
      </w:r>
    </w:p>
    <w:p>
      <w:r>
        <w:t>https://www.nice.org.uk/guidance/ng71/chapter/Recommendations</w:t>
      </w:r>
    </w:p>
    <w:p>
      <w:r>
        <w:t>[R16] Dementia assessment management and support NG97。NICE，2018，引用官网现行页面。官方诊断与功能评估章节已核验。</w:t>
      </w:r>
    </w:p>
    <w:p>
      <w:r>
        <w:t>https://www.nice.org.uk/guidance/ng97/chapter/Recommendations</w:t>
      </w:r>
    </w:p>
    <w:p>
      <w:r>
        <w:t>[R23] NIH Stroke Scale。NINDS官方量表手册。官方量表来源已核验；逐项评分需受训评估者完成。</w:t>
      </w:r>
    </w:p>
    <w:p>
      <w:r>
        <w:t>https://www.ninds.nih.gov/sites/default/files/migrate-documents/nih_stroke_scale_booklet_508c.pdf</w:t>
      </w:r>
    </w:p>
    <w:p>
      <w:r>
        <w:t>[R25] MoCA official use and interpretation requirements。MoCA Cognition官方说明。培训认证及临床解释限制已核验；不复制受保护题本。</w:t>
      </w:r>
    </w:p>
    <w:p>
      <w:r>
        <w:t>https://mocacognition.com/disclaimer/</w:t>
      </w:r>
    </w:p>
    <w:p>
      <w:pPr>
        <w:pStyle w:val="Heading1"/>
      </w:pPr>
      <w:r>
        <w:t>更新与维护说明</w:t>
      </w:r>
    </w:p>
    <w:p>
      <w:r>
        <w:t>版本责任由科室指定的临床负责人、介入负责人和病案质控人员共同承担。至少每季度核验来源，指南、药品说明书或院内制度更新时立即复审相关阈值、禁忌证、术式授权和模板；记录旧版、变更理由、来源、审校人及生效日期。所有更新须重跑10模块30项模拟验收；修正原规则及全部受影响交叉引用后再发布。</w:t>
      </w:r>
    </w:p>
    <w:p>
      <w:r>
        <w:t>本交付物是Word规则与模板库。自动路由、状态管理及质控以文字协议供AI执行；未部署数据库、电子病历接口或后台调度器。新会话须显式提供当前患者状态及所需模块，不能声称已读取未提供的Word文件。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09  神经内科病历书写系统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Songti SC" w:hAnsi="Songti SC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Songti SC" w:hAnsi="Songti SC" w:eastAsia="Songti S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20"/>
      <w:contextualSpacing/>
    </w:pPr>
    <w:rPr>
      <w:rFonts w:ascii="Songti SC" w:hAnsi="Songti SC" w:eastAsia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icalBody">
    <w:name w:val="Clinical Body"/>
    <w:basedOn w:val="Normal"/>
    <w:pPr>
      <w:spacing w:after="60" w:before="0"/>
    </w:pPr>
    <w:rPr>
      <w:rFonts w:ascii="Songti SC" w:hAnsi="Songti SC" w:eastAsia="Songti SC"/>
    </w:rPr>
  </w:style>
  <w:style w:type="paragraph" w:customStyle="1" w:styleId="CodeFence">
    <w:name w:val="Code Fence"/>
    <w:basedOn w:val="Normal"/>
    <w:pPr>
      <w:spacing w:after="60" w:before="0"/>
    </w:pPr>
    <w:rPr>
      <w:rFonts w:ascii="Songti SC" w:hAnsi="Songti SC" w:eastAsia="Songti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神经康复吞咽功能管理及出院随访模板库</dc:title>
  <dc:subject>神经内科与神经介入医学文书规则及模板</dc:subject>
  <dc:creator>病历模板库</dc:creator>
  <cp:keywords>规则库 医师审核 真实病例资料 神经内科 神经介入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