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106 帕金森病认知障碍与神经变性疾病专病模板库</w:t>
      </w:r>
    </w:p>
    <w:p>
      <w:r>
        <w:t>版本 V1.0  |  建立与核验日期 2026年10月25日  |  第三级模块</w:t>
      </w:r>
    </w:p>
    <w:p>
      <w:r>
        <w:t>提供帕金森病认知障碍与神经变性疾病的独立医学知识、29节核心疾病结构及完整文书。 本模块提供医师审核前的书写规则与模板；不得替代诊疗授权、真实执行记录、知情沟通或医疗签名。</w:t>
      </w:r>
    </w:p>
    <w:p>
      <w:pPr>
        <w:pStyle w:val="Heading1"/>
      </w:pPr>
      <w:r>
        <w:t>一 模块定位与调用</w:t>
      </w:r>
    </w:p>
    <w:p>
      <w:r>
        <w:t>功能定位：提供帕金森病认知障碍与神经变性疾病的独立医学知识、29节核心疾病结构及完整文书。</w:t>
      </w:r>
    </w:p>
    <w:p>
      <w:r>
        <w:t>核心任务：将可追溯的真实资料转化为符合本模块场景的医学分析与文书，并识别影响安全和真实性的缺口。</w:t>
      </w:r>
    </w:p>
    <w:p>
      <w:r>
        <w:t>适用范围：覆盖本模块疾病全住院周期；涉及介入时联合05/104，重症联合06，查房联合08。</w:t>
      </w:r>
    </w:p>
    <w:p>
      <w:r>
        <w:t>自动调用条件：识别相应疾病、症候群、鉴别、治疗阶段或后续复查需求。</w:t>
      </w:r>
    </w:p>
    <w:p>
      <w:pPr>
        <w:pStyle w:val="Heading1"/>
      </w:pPr>
      <w:r>
        <w:t>二 医学书写与分析原则</w:t>
      </w:r>
    </w:p>
    <w:p>
      <w:r>
        <w:t>每条患者事实绑定patient_id、encounter_id、event_time、recorded_at、source_id、author、verification及状态。知识提示、医师计划、实际执行、停用或取消分别储存；未知不等于阴性，未记录不等于未发生。模板和模拟病例中的内容不能继承为患者事实。</w:t>
      </w:r>
    </w:p>
    <w:p>
      <w:r>
        <w:t>先确认身份与就诊，再描述时间进展、神经功能、定位、定性和诊断确定度；诊疗意见只能归属于有实际记录的医师。医学常识不能替代诊断所缺的证据。</w:t>
      </w:r>
    </w:p>
    <w:p>
      <w:r>
        <w:t>所有医学文书按“代码框外的日期时间及标题＋独立Markdown代码框内的正文”输出。框内不重复文书日期或标题，不放“医学文书正文”标签、AI解释或前言。日常病程、术后病程和三级医师查房必须是连续一整段，无空行、无分条、无多余空格；入院、出院、讨论和抢救等固定栏目文书保留必要结构。正文中的既往事件时间仅在临床必需时表达，不得把本次文书日期再作为题头写入框内。未核实内容在框外提示，最终正文不得含【占位符】。</w:t>
      </w:r>
    </w:p>
    <w:p>
      <w:r>
        <w:t>本库“结构模板”中的【字段】是建库变量；使用时必须由核实资料替换。若非必需项缺失可删除对应句，必需项缺失则在代码框外提出具体核对项；不得把模板直接当作已完成病历。模拟病例均为虚构，仅用于规则演示，不构成临床医嘱。</w:t>
      </w:r>
    </w:p>
    <w:p>
      <w:pPr>
        <w:pStyle w:val="Heading1"/>
      </w:pPr>
      <w:r>
        <w:t>三 专病内部结构与执行边界</w:t>
      </w:r>
    </w:p>
    <w:p>
      <w:r>
        <w:t>下列每个核心疾病采用同一29节框架，但定位、诊断条件、鉴别和治疗风险根据本病独立设计。模板中的专业核对提示只是变量说明，最终必须替换为本例事实；不能把常见症状、标准治疗或风险自动填入患者正文。</w:t>
      </w:r>
    </w:p>
    <w:p>
      <w:pPr>
        <w:pStyle w:val="Heading1"/>
      </w:pPr>
      <w:r>
        <w:t>四 核心疾病及完整模板</w:t>
      </w:r>
    </w:p>
    <w:p>
      <w:pPr>
        <w:pStyle w:val="Heading2"/>
      </w:pPr>
      <w:r>
        <w:t>01 帕金森病</w:t>
      </w:r>
    </w:p>
    <w:p>
      <w:pPr>
        <w:pStyle w:val="Heading3"/>
      </w:pPr>
      <w:r>
        <w:t>01 疾病定义</w:t>
      </w:r>
    </w:p>
    <w:p>
      <w:r>
        <w:t>以运动迟缓为核心的进行性运动及非运动综合征。</w:t>
      </w:r>
    </w:p>
    <w:p>
      <w:pPr>
        <w:pStyle w:val="Heading3"/>
      </w:pPr>
      <w:r>
        <w:t>02 病因及发病机制</w:t>
      </w:r>
    </w:p>
    <w:p>
      <w:r>
        <w:t>黑质纹状体多巴胺等网络变性，不能仅凭震颤诊断。</w:t>
      </w:r>
    </w:p>
    <w:p>
      <w:pPr>
        <w:pStyle w:val="Heading3"/>
      </w:pPr>
      <w:r>
        <w:t>03 临床表现</w:t>
      </w:r>
    </w:p>
    <w:p>
      <w:r>
        <w:t>缓慢进展、左右起始、药物反应、开关期、跌倒、便秘嗅觉睡眠。症状可能并非全部出现，正式病历只记录本例实际表现。</w:t>
      </w:r>
    </w:p>
    <w:p>
      <w:pPr>
        <w:pStyle w:val="Heading3"/>
      </w:pPr>
      <w:r>
        <w:t>04 病史采集要点</w:t>
      </w:r>
    </w:p>
    <w:p>
      <w:r>
        <w:t>缓慢进展、左右起始、药物反应、开关期、跌倒、便秘嗅觉睡眠。必须注明患者自述、家属旁证或既往记录的实际来源及时间。</w:t>
      </w:r>
    </w:p>
    <w:p>
      <w:pPr>
        <w:pStyle w:val="Heading3"/>
      </w:pPr>
      <w:r>
        <w:t>05 神经系统专科检查</w:t>
      </w:r>
    </w:p>
    <w:p>
      <w:r>
        <w:t>运动迟缓、强直、静止震颤、姿势步态及眼动、认知。未查项目不写阴性，量表只用真实评估。</w:t>
      </w:r>
    </w:p>
    <w:p>
      <w:pPr>
        <w:pStyle w:val="Heading3"/>
      </w:pPr>
      <w:r>
        <w:t>06 定位诊断</w:t>
      </w:r>
    </w:p>
    <w:p>
      <w:r>
        <w:t>基底节相关运动网络，需辨异常帕金森红旗。结论附支持证据与不吻合项。</w:t>
      </w:r>
    </w:p>
    <w:p>
      <w:pPr>
        <w:pStyle w:val="Heading3"/>
      </w:pPr>
      <w:r>
        <w:t>07 定性诊断</w:t>
      </w:r>
    </w:p>
    <w:p>
      <w:r>
        <w:t>黑质纹状体多巴胺等网络变性，不能仅凭震颤诊断。结合起病、演变及临床为主，MRI排结构原因，特殊检查仅在适应性判断，保留确定度。</w:t>
      </w:r>
    </w:p>
    <w:p>
      <w:pPr>
        <w:pStyle w:val="Heading3"/>
      </w:pPr>
      <w:r>
        <w:t>08 重要辅助检查</w:t>
      </w:r>
    </w:p>
    <w:p>
      <w:r>
        <w:t>临床为主，MRI排结构原因，特殊检查仅在适应性。报告原文与临床推断按04分开。</w:t>
      </w:r>
    </w:p>
    <w:p>
      <w:pPr>
        <w:pStyle w:val="Heading3"/>
      </w:pPr>
      <w:r>
        <w:t>09 诊断标准</w:t>
      </w:r>
    </w:p>
    <w:p>
      <w:r>
        <w:t>运动迟缓联合静止震颤和/或强直并按采用临床标准核对排除、红旗和支持项。诊断标准版本不清或关键证据未全时，仅写临床考虑并列待核实项。</w:t>
      </w:r>
    </w:p>
    <w:p>
      <w:pPr>
        <w:pStyle w:val="Heading3"/>
      </w:pPr>
      <w:r>
        <w:t>10 诊断依据</w:t>
      </w:r>
    </w:p>
    <w:p>
      <w:r>
        <w:t>将本例真实病程、运动迟缓、强直、静止震颤、姿势步态及眼动、认知及临床为主，MRI排结构原因，特殊检查仅在适应性逐项对应；不把疾病常见表现写成患者已具备。</w:t>
      </w:r>
    </w:p>
    <w:p>
      <w:pPr>
        <w:pStyle w:val="Heading3"/>
      </w:pPr>
      <w:r>
        <w:t>11 鉴别诊断</w:t>
      </w:r>
    </w:p>
    <w:p>
      <w:r>
        <w:t>药物性、血管性、MSA、PSP、特发震颤。逐项写本例支持、反对及尚缺证据，而不是无依据全部排除。</w:t>
      </w:r>
    </w:p>
    <w:p>
      <w:pPr>
        <w:pStyle w:val="Heading3"/>
      </w:pPr>
      <w:r>
        <w:t>12 分型分级或危险分层</w:t>
      </w:r>
    </w:p>
    <w:p>
      <w:r>
        <w:t>MDS-UPDRS及Hoehn Yahr只有真实评估可写，注明开/关期。</w:t>
      </w:r>
    </w:p>
    <w:p>
      <w:pPr>
        <w:pStyle w:val="Heading3"/>
      </w:pPr>
      <w:r>
        <w:t>13 临床严重程度评估</w:t>
      </w:r>
    </w:p>
    <w:p>
      <w:r>
        <w:t>运动迟缓、强直、静止震颤、姿势步态及眼动、认知；结合MDS-UPDRS及Hoehn Yahr只有真实评估可写，注明开/关期及呼吸循环/生活功能，记录严重度依据与限制。</w:t>
      </w:r>
    </w:p>
    <w:p>
      <w:pPr>
        <w:pStyle w:val="Heading3"/>
      </w:pPr>
      <w:r>
        <w:t>14 治疗原则</w:t>
      </w:r>
    </w:p>
    <w:p>
      <w:r>
        <w:t>个体化药物时间表、非药物康复及非运动管理，住院避免无故中断。医学原则、拟定计划、已执行及停用状态由07分别记录。</w:t>
      </w:r>
    </w:p>
    <w:p>
      <w:pPr>
        <w:pStyle w:val="Heading3"/>
      </w:pPr>
      <w:r>
        <w:t>15 特殊治疗适应性评估</w:t>
      </w:r>
    </w:p>
    <w:p>
      <w:r>
        <w:t>器械/DBS由授权专科综合评估；不能把多巴胺反应等于所有适应证满足。应同时核实禁忌证、替代方案和实际医师决定。</w:t>
      </w:r>
    </w:p>
    <w:p>
      <w:pPr>
        <w:pStyle w:val="Heading3"/>
      </w:pPr>
      <w:r>
        <w:t>16 重要治疗风险</w:t>
      </w:r>
    </w:p>
    <w:p>
      <w:r>
        <w:t>跌倒、误吸、异动症、幻觉、低血压及撤药恶化。结合本例病情、器官功能和用药说明风险，不能因有风险便写已发生。</w:t>
      </w:r>
    </w:p>
    <w:p>
      <w:pPr>
        <w:pStyle w:val="Heading3"/>
      </w:pPr>
      <w:r>
        <w:t>17 可能发生的并发症</w:t>
      </w:r>
    </w:p>
    <w:p>
      <w:r>
        <w:t>跌倒、误吸、异动症、幻觉、低血压及撤药恶化。若出现异常，记录发生时间、客观证据、鉴别、实际处置和复评，调用06。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现病史：【真实起病、演变与相关病史，重点核实缓慢进展、左右起始、药物反应、开关期、跌倒、便秘嗅觉睡眠】</w:t>
      </w:r>
    </w:p>
    <w:p>
      <w:pPr>
        <w:pStyle w:val="ClinicalBody"/>
      </w:pPr>
      <w:r>
        <w:t>既往史与用药：【真实内容及状态】</w:t>
      </w:r>
    </w:p>
    <w:p>
      <w:pPr>
        <w:pStyle w:val="ClinicalBody"/>
      </w:pPr>
      <w:r>
        <w:t>神经系统检查：【本次实际运动迟缓、强直、静止震颤、姿势步态及眼动、认知】</w:t>
      </w:r>
    </w:p>
    <w:p>
      <w:pPr>
        <w:pStyle w:val="ClinicalBody"/>
      </w:pPr>
      <w:r>
        <w:t>辅助检查：【已完成的临床为主，MRI排结构原因，特殊检查仅在适应性及日期】</w:t>
      </w:r>
    </w:p>
    <w:p>
      <w:pPr>
        <w:pStyle w:val="ClinicalBody"/>
      </w:pPr>
      <w:r>
        <w:t>初步诊断：【帕金森病的诊断名称及确定度】，依据【真实支持资料】，尚需鉴别【本例实际备选】。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基底节相关运动网络，需辨异常帕金森红旗说明】。定性及诊断依据：【对照运动迟缓联合静止震颤和/或强直并按采用临床标准核对排除、红旗和支持项列出本例满足项及证据缺口】。鉴别诊断：【针对药物性、血管性、MSA、PSP、特发震颤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运动迟缓、强直、静止震颤、姿势步态及眼动、认知】。辅助检查【实际新结果及临床为主，MRI排结构原因，特殊检查仅在适应性中相关变化】。目前【帕金森病的诊断确定度及当前问题】，已实施【真实治疗与反应】，后续拟【实际计划】，重点观察【本例风险和开关日记、用药准确时间、吞咽步态和照护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运动迟缓、强直、静止震颤、姿势步态及眼动、认知实测结果】，检查【实际结果】。主治医师分析：【结合本例帕金森病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基底节相关运动网络，需辨异常帕金森红旗与本例证据的吻合程度，分析黑质纹状体多巴胺等网络变性，不能仅凭震颤诊断的证据充分度；结合MDS-UPDRS及Hoehn Yahr只有真实评估可写，注明开/关期及实际治疗风险提出优化意见】。下一步【真实决定与执行核查】。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帕金森病及竞争诊断，结合本例器械/DBS由授权专科综合评估；不能把多巴胺反应等于所有适应证满足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运动迟缓、强直、静止震颤、姿势步态及眼动、认知中可评项目】。需重点鉴别【药物性、血管性、MSA、PSP、特发震颤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运动迟缓、强直、静止震颤、姿势步态及眼动、认知的客观变化】，辅助检查【真实结果】。与【明确基线】相比【有证据疗效或尚不能评价】，不良反应及并发症【实际已查内容】，后续【医师确定监测及开关日记、用药准确时间、吞咽步态和照护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诊疗经过：【帕金森病证据、诊断修正、真实治疗及疗效】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出院医嘱：【已审核药物、开关日记、用药准确时间、吞咽步态和照护中适用复查及具体警戒症状】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开关日记、用药准确时间、吞咽步态和照护中已决定项目】。若出现【本例需警戒的新缺损、意识、呼吸、发作或出血症状】，及时就诊。</w:t>
      </w:r>
    </w:p>
    <w:p>
      <w:pPr>
        <w:pStyle w:val="CodeFence"/>
      </w:pPr>
      <w:r>
        <w:t>```</w:t>
      </w:r>
    </w:p>
    <w:p>
      <w:pPr>
        <w:pStyle w:val="Heading3"/>
      </w:pPr>
      <w:r>
        <w:t>28 关键质控要点</w:t>
      </w:r>
    </w:p>
    <w:p>
      <w:r>
        <w:t>运动迟缓联合静止震颤和/或强直并按采用临床标准核对排除、红旗和支持项；器械/DBS由授权专科综合评估；不能把多巴胺反应等于所有适应证满足。侧别、时点、证据、确定度、计划执行及当次查体须一致；跌倒、误吸、异动症、幻觉、低血压及撤药恶化只能在有事实时作为并发症诊断。</w:t>
      </w:r>
    </w:p>
    <w:p>
      <w:pPr>
        <w:pStyle w:val="Heading3"/>
      </w:pPr>
      <w:r>
        <w:t>29 指南与循证医学来源</w:t>
      </w:r>
    </w:p>
    <w:p>
      <w:r>
        <w:t>本章依据本模块来源 R15、R16、R25、R31 的适用部分组织。具体采用版本、条目与证据等级须写入本例决策；未核验标准不作为自动治疗门槛。来源的已核验范围和限制见文末，不将每一条综述性书写提示伪装成指南推荐。</w:t>
      </w:r>
    </w:p>
    <w:p>
      <w:pPr>
        <w:pStyle w:val="Heading2"/>
      </w:pPr>
      <w:r>
        <w:t>02 非典型帕金森综合征</w:t>
      </w:r>
    </w:p>
    <w:p>
      <w:pPr>
        <w:pStyle w:val="Heading3"/>
      </w:pPr>
      <w:r>
        <w:t>01 疾病定义</w:t>
      </w:r>
    </w:p>
    <w:p>
      <w:r>
        <w:t>具有帕金森表现并伴非典型红旗的疾病组。</w:t>
      </w:r>
    </w:p>
    <w:p>
      <w:pPr>
        <w:pStyle w:val="Heading3"/>
      </w:pPr>
      <w:r>
        <w:t>02 病因及发病机制</w:t>
      </w:r>
    </w:p>
    <w:p>
      <w:r>
        <w:t>MSA自主神经/小脑，PSP眼动/早跌倒，CBS不对称皮质功能等。</w:t>
      </w:r>
    </w:p>
    <w:p>
      <w:pPr>
        <w:pStyle w:val="Heading3"/>
      </w:pPr>
      <w:r>
        <w:t>03 临床表现</w:t>
      </w:r>
    </w:p>
    <w:p>
      <w:r>
        <w:t>早期跌倒、自主障碍、眼动、语言吞咽及药物反应。症状可能并非全部出现，正式病历只记录本例实际表现。</w:t>
      </w:r>
    </w:p>
    <w:p>
      <w:pPr>
        <w:pStyle w:val="Heading3"/>
      </w:pPr>
      <w:r>
        <w:t>04 病史采集要点</w:t>
      </w:r>
    </w:p>
    <w:p>
      <w:r>
        <w:t>早期跌倒、自主障碍、眼动、语言吞咽及药物反应。必须注明患者自述、家属旁证或既往记录的实际来源及时间。</w:t>
      </w:r>
    </w:p>
    <w:p>
      <w:pPr>
        <w:pStyle w:val="Heading3"/>
      </w:pPr>
      <w:r>
        <w:t>05 神经系统专科检查</w:t>
      </w:r>
    </w:p>
    <w:p>
      <w:r>
        <w:t>垂直眼动、姿势、锥体/小脑、失用、认知和立卧血压。未查项目不写阴性，量表只用真实评估。</w:t>
      </w:r>
    </w:p>
    <w:p>
      <w:pPr>
        <w:pStyle w:val="Heading3"/>
      </w:pPr>
      <w:r>
        <w:t>06 定位诊断</w:t>
      </w:r>
    </w:p>
    <w:p>
      <w:r>
        <w:t>多网络受累，分疾病定位不能一概写基底节。结论附支持证据与不吻合项。</w:t>
      </w:r>
    </w:p>
    <w:p>
      <w:pPr>
        <w:pStyle w:val="Heading3"/>
      </w:pPr>
      <w:r>
        <w:t>07 定性诊断</w:t>
      </w:r>
    </w:p>
    <w:p>
      <w:r>
        <w:t>MSA自主神经/小脑，PSP眼动/早跌倒，CBS不对称皮质功能等。结合起病、演变及MRI、神经心理及相应自主/吞咽评估判断，保留确定度。</w:t>
      </w:r>
    </w:p>
    <w:p>
      <w:pPr>
        <w:pStyle w:val="Heading3"/>
      </w:pPr>
      <w:r>
        <w:t>08 重要辅助检查</w:t>
      </w:r>
    </w:p>
    <w:p>
      <w:r>
        <w:t>MRI、神经心理及相应自主/吞咽评估。报告原文与临床推断按04分开。</w:t>
      </w:r>
    </w:p>
    <w:p>
      <w:pPr>
        <w:pStyle w:val="Heading3"/>
      </w:pPr>
      <w:r>
        <w:t>09 诊断标准</w:t>
      </w:r>
    </w:p>
    <w:p>
      <w:r>
        <w:t>按具体疾病标准及诊断确定度，不以左旋多巴反应差独立确诊。诊断标准版本不清或关键证据未全时，仅写临床考虑并列待核实项。</w:t>
      </w:r>
    </w:p>
    <w:p>
      <w:pPr>
        <w:pStyle w:val="Heading3"/>
      </w:pPr>
      <w:r>
        <w:t>10 诊断依据</w:t>
      </w:r>
    </w:p>
    <w:p>
      <w:r>
        <w:t>将本例真实病程、垂直眼动、姿势、锥体/小脑、失用、认知和立卧血压及MRI、神经心理及相应自主/吞咽评估逐项对应；不把疾病常见表现写成患者已具备。</w:t>
      </w:r>
    </w:p>
    <w:p>
      <w:pPr>
        <w:pStyle w:val="Heading3"/>
      </w:pPr>
      <w:r>
        <w:t>11 鉴别诊断</w:t>
      </w:r>
    </w:p>
    <w:p>
      <w:r>
        <w:t>PD、血管/药物性、正常压力脑积水。逐项写本例支持、反对及尚缺证据，而不是无依据全部排除。</w:t>
      </w:r>
    </w:p>
    <w:p>
      <w:pPr>
        <w:pStyle w:val="Heading3"/>
      </w:pPr>
      <w:r>
        <w:t>12 分型分级或危险分层</w:t>
      </w:r>
    </w:p>
    <w:p>
      <w:r>
        <w:t>疾病特异功能量表需实际；红旗出现时间关键。</w:t>
      </w:r>
    </w:p>
    <w:p>
      <w:pPr>
        <w:pStyle w:val="Heading3"/>
      </w:pPr>
      <w:r>
        <w:t>13 临床严重程度评估</w:t>
      </w:r>
    </w:p>
    <w:p>
      <w:r>
        <w:t>垂直眼动、姿势、锥体/小脑、失用、认知和立卧血压；结合疾病特异功能量表需实际；红旗出现时间关键及呼吸循环/生活功能，记录严重度依据与限制。</w:t>
      </w:r>
    </w:p>
    <w:p>
      <w:pPr>
        <w:pStyle w:val="Heading3"/>
      </w:pPr>
      <w:r>
        <w:t>14 治疗原则</w:t>
      </w:r>
    </w:p>
    <w:p>
      <w:r>
        <w:t>症状与功能照护、谨慎药物试验，风险及疗效客观记录。医学原则、拟定计划、已执行及停用状态由07分别记录。</w:t>
      </w:r>
    </w:p>
    <w:p>
      <w:pPr>
        <w:pStyle w:val="Heading3"/>
      </w:pPr>
      <w:r>
        <w:t>15 特殊治疗适应性评估</w:t>
      </w:r>
    </w:p>
    <w:p>
      <w:r>
        <w:t>气道喘鸣、严重低压或吞咽受损时相应专科评估。应同时核实禁忌证、替代方案和实际医师决定。</w:t>
      </w:r>
    </w:p>
    <w:p>
      <w:pPr>
        <w:pStyle w:val="Heading3"/>
      </w:pPr>
      <w:r>
        <w:t>16 重要治疗风险</w:t>
      </w:r>
    </w:p>
    <w:p>
      <w:r>
        <w:t>跌倒、误吸、泌尿潴留和自主危象。结合本例病情、器官功能和用药说明风险，不能因有风险便写已发生。</w:t>
      </w:r>
    </w:p>
    <w:p>
      <w:pPr>
        <w:pStyle w:val="Heading3"/>
      </w:pPr>
      <w:r>
        <w:t>17 可能发生的并发症</w:t>
      </w:r>
    </w:p>
    <w:p>
      <w:r>
        <w:t>跌倒、误吸、泌尿潴留和自主危象。若出现异常，记录发生时间、客观证据、鉴别、实际处置和复评，调用06。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现病史：【真实起病、演变与相关病史，重点核实早期跌倒、自主障碍、眼动、语言吞咽及药物反应】</w:t>
      </w:r>
    </w:p>
    <w:p>
      <w:pPr>
        <w:pStyle w:val="ClinicalBody"/>
      </w:pPr>
      <w:r>
        <w:t>既往史与用药：【真实内容及状态】</w:t>
      </w:r>
    </w:p>
    <w:p>
      <w:pPr>
        <w:pStyle w:val="ClinicalBody"/>
      </w:pPr>
      <w:r>
        <w:t>神经系统检查：【本次实际垂直眼动、姿势、锥体/小脑、失用、认知和立卧血压】</w:t>
      </w:r>
    </w:p>
    <w:p>
      <w:pPr>
        <w:pStyle w:val="ClinicalBody"/>
      </w:pPr>
      <w:r>
        <w:t>辅助检查：【已完成的MRI、神经心理及相应自主/吞咽评估及日期】</w:t>
      </w:r>
    </w:p>
    <w:p>
      <w:pPr>
        <w:pStyle w:val="ClinicalBody"/>
      </w:pPr>
      <w:r>
        <w:t>初步诊断：【非典型帕金森综合征的诊断名称及确定度】，依据【真实支持资料】，尚需鉴别【本例实际备选】。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多网络受累，分疾病定位不能一概写基底节说明】。定性及诊断依据：【对照按具体疾病标准及诊断确定度，不以左旋多巴反应差独立确诊列出本例满足项及证据缺口】。鉴别诊断：【针对PD、血管/药物性、正常压力脑积水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垂直眼动、姿势、锥体/小脑、失用、认知和立卧血压】。辅助检查【实际新结果及MRI、神经心理及相应自主/吞咽评估中相关变化】。目前【非典型帕金森综合征的诊断确定度及当前问题】，已实施【真实治疗与反应】，后续拟【实际计划】，重点观察【本例风险和运动、眼动、吞咽呼吸、自主和照护能力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垂直眼动、姿势、锥体/小脑、失用、认知和立卧血压实测结果】，检查【实际结果】。主治医师分析：【结合本例非典型帕金森综合征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多网络受累，分疾病定位不能一概写基底节与本例证据的吻合程度，分析MSA自主神经/小脑，PSP眼动/早跌倒，CBS不对称皮质功能等的证据充分度；结合疾病特异功能量表需实际；红旗出现时间关键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非典型帕金森综合征及竞争诊断，结合本例气道喘鸣、严重低压或吞咽受损时相应专科评估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垂直眼动、姿势、锥体/小脑、失用、认知和立卧血压中可评项目】。需重点鉴别【PD、血管/药物性、正常压力脑积水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垂直眼动、姿势、锥体/小脑、失用、认知和立卧血压的客观变化】，辅助检查【真实结果】。与【明确基线】相比【有证据疗效或尚不能评价】，不良反应及并发症【实际已查内容】，后续【医师确定监测及运动、眼动、吞咽呼吸、自主和照护能力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诊疗经过：【非典型帕金森综合征证据、诊断修正、真实治疗及疗效】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出院医嘱：【已审核药物、运动、眼动、吞咽呼吸、自主和照护能力中适用复查及具体警戒症状】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运动、眼动、吞咽呼吸、自主和照护能力中已决定项目】。若出现【本例需警戒的新缺损、意识、呼吸、发作或出血症状】，及时就诊。</w:t>
      </w:r>
    </w:p>
    <w:p>
      <w:pPr>
        <w:pStyle w:val="CodeFence"/>
      </w:pPr>
      <w:r>
        <w:t>```</w:t>
      </w:r>
    </w:p>
    <w:p>
      <w:pPr>
        <w:pStyle w:val="Heading3"/>
      </w:pPr>
      <w:r>
        <w:t>28 关键质控要点</w:t>
      </w:r>
    </w:p>
    <w:p>
      <w:r>
        <w:t>按具体疾病标准及诊断确定度，不以左旋多巴反应差独立确诊；气道喘鸣、严重低压或吞咽受损时相应专科评估。侧别、时点、证据、确定度、计划执行及当次查体须一致；跌倒、误吸、泌尿潴留和自主危象只能在有事实时作为并发症诊断。</w:t>
      </w:r>
    </w:p>
    <w:p>
      <w:pPr>
        <w:pStyle w:val="Heading3"/>
      </w:pPr>
      <w:r>
        <w:t>29 指南与循证医学来源</w:t>
      </w:r>
    </w:p>
    <w:p>
      <w:r>
        <w:t>本章依据本模块来源 R15、R16、R25、R31 的适用部分组织。具体采用版本、条目与证据等级须写入本例决策；未核验标准不作为自动治疗门槛。来源的已核验范围和限制见文末，不将每一条综述性书写提示伪装成指南推荐。</w:t>
      </w:r>
    </w:p>
    <w:p>
      <w:pPr>
        <w:pStyle w:val="Heading2"/>
      </w:pPr>
      <w:r>
        <w:t>03 阿尔茨海默病与轻度认知障碍</w:t>
      </w:r>
    </w:p>
    <w:p>
      <w:pPr>
        <w:pStyle w:val="Heading3"/>
      </w:pPr>
      <w:r>
        <w:t>01 疾病定义</w:t>
      </w:r>
    </w:p>
    <w:p>
      <w:r>
        <w:t>进行性认知衰退综合征，是否影响独立生活决定功能分层。</w:t>
      </w:r>
    </w:p>
    <w:p>
      <w:pPr>
        <w:pStyle w:val="Heading3"/>
      </w:pPr>
      <w:r>
        <w:t>02 病因及发病机制</w:t>
      </w:r>
    </w:p>
    <w:p>
      <w:r>
        <w:t>神经变性及混合病理可能，生物标志物与临床状态分别表达。</w:t>
      </w:r>
    </w:p>
    <w:p>
      <w:pPr>
        <w:pStyle w:val="Heading3"/>
      </w:pPr>
      <w:r>
        <w:t>03 临床表现</w:t>
      </w:r>
    </w:p>
    <w:p>
      <w:r>
        <w:t>知情人旁证、记忆执行语言、起病进展、ADL、教育及药物。症状可能并非全部出现，正式病历只记录本例实际表现。</w:t>
      </w:r>
    </w:p>
    <w:p>
      <w:pPr>
        <w:pStyle w:val="Heading3"/>
      </w:pPr>
      <w:r>
        <w:t>04 病史采集要点</w:t>
      </w:r>
    </w:p>
    <w:p>
      <w:r>
        <w:t>知情人旁证、记忆执行语言、起病进展、ADL、教育及药物。必须注明患者自述、家属旁证或既往记录的实际来源及时间。</w:t>
      </w:r>
    </w:p>
    <w:p>
      <w:pPr>
        <w:pStyle w:val="Heading3"/>
      </w:pPr>
      <w:r>
        <w:t>05 神经系统专科检查</w:t>
      </w:r>
    </w:p>
    <w:p>
      <w:r>
        <w:t>注意定向记忆、语言执行、神经系统和谵妄检查。未查项目不写阴性，量表只用真实评估。</w:t>
      </w:r>
    </w:p>
    <w:p>
      <w:pPr>
        <w:pStyle w:val="Heading3"/>
      </w:pPr>
      <w:r>
        <w:t>06 定位诊断</w:t>
      </w:r>
    </w:p>
    <w:p>
      <w:r>
        <w:t>认知网络模式与结构影像对应，不由脑萎缩直接确诊。结论附支持证据与不吻合项。</w:t>
      </w:r>
    </w:p>
    <w:p>
      <w:pPr>
        <w:pStyle w:val="Heading3"/>
      </w:pPr>
      <w:r>
        <w:t>07 定性诊断</w:t>
      </w:r>
    </w:p>
    <w:p>
      <w:r>
        <w:t>神经变性及混合病理可能，生物标志物与临床状态分别表达。结合起病、演变及神经心理、MRI、代谢可逆原因；特定情况下CSF/PET或经核验标志物判断，保留确定度。</w:t>
      </w:r>
    </w:p>
    <w:p>
      <w:pPr>
        <w:pStyle w:val="Heading3"/>
      </w:pPr>
      <w:r>
        <w:t>08 重要辅助检查</w:t>
      </w:r>
    </w:p>
    <w:p>
      <w:r>
        <w:t>神经心理、MRI、代谢可逆原因；特定情况下CSF/PET或经核验标志物。报告原文与临床推断按04分开。</w:t>
      </w:r>
    </w:p>
    <w:p>
      <w:pPr>
        <w:pStyle w:val="Heading3"/>
      </w:pPr>
      <w:r>
        <w:t>09 诊断标准</w:t>
      </w:r>
    </w:p>
    <w:p>
      <w:r>
        <w:t>认知下降及功能影响、排其他解释；MCI与痴呆需实际功能证据，分生物学与临床诊断。诊断标准版本不清或关键证据未全时，仅写临床考虑并列待核实项。</w:t>
      </w:r>
    </w:p>
    <w:p>
      <w:pPr>
        <w:pStyle w:val="Heading3"/>
      </w:pPr>
      <w:r>
        <w:t>10 诊断依据</w:t>
      </w:r>
    </w:p>
    <w:p>
      <w:r>
        <w:t>将本例真实病程、注意定向记忆、语言执行、神经系统和谵妄检查及神经心理、MRI、代谢可逆原因；特定情况下CSF/PET或经核验标志物逐项对应；不把疾病常见表现写成患者已具备。</w:t>
      </w:r>
    </w:p>
    <w:p>
      <w:pPr>
        <w:pStyle w:val="Heading3"/>
      </w:pPr>
      <w:r>
        <w:t>11 鉴别诊断</w:t>
      </w:r>
    </w:p>
    <w:p>
      <w:r>
        <w:t>谵妄、抑郁、药物、血管、DLB、FTD及可逆病因。逐项写本例支持、反对及尚缺证据，而不是无依据全部排除。</w:t>
      </w:r>
    </w:p>
    <w:p>
      <w:pPr>
        <w:pStyle w:val="Heading3"/>
      </w:pPr>
      <w:r>
        <w:t>12 分型分级或危险分层</w:t>
      </w:r>
    </w:p>
    <w:p>
      <w:r>
        <w:t>MMSE/MoCA等版本及教育影响，严重度结合ADL。</w:t>
      </w:r>
    </w:p>
    <w:p>
      <w:pPr>
        <w:pStyle w:val="Heading3"/>
      </w:pPr>
      <w:r>
        <w:t>13 临床严重程度评估</w:t>
      </w:r>
    </w:p>
    <w:p>
      <w:r>
        <w:t>注意定向记忆、语言执行、神经系统和谵妄检查；结合MMSE/MoCA等版本及教育影响，严重度结合ADL及呼吸循环/生活功能，记录严重度依据与限制。</w:t>
      </w:r>
    </w:p>
    <w:p>
      <w:pPr>
        <w:pStyle w:val="Heading3"/>
      </w:pPr>
      <w:r>
        <w:t>14 治疗原则</w:t>
      </w:r>
    </w:p>
    <w:p>
      <w:r>
        <w:t>照护、认知活动及经评估药物；获批疾病修饰药需专门适应性及监测。医学原则、拟定计划、已执行及停用状态由07分别记录。</w:t>
      </w:r>
    </w:p>
    <w:p>
      <w:pPr>
        <w:pStyle w:val="Heading3"/>
      </w:pPr>
      <w:r>
        <w:t>15 特殊治疗适应性评估</w:t>
      </w:r>
    </w:p>
    <w:p>
      <w:r>
        <w:t>抗淀粉样治疗不由诊断自动启动，需获批范围、标志物和ARIA/出血风险评估。应同时核实禁忌证、替代方案和实际医师决定。</w:t>
      </w:r>
    </w:p>
    <w:p>
      <w:pPr>
        <w:pStyle w:val="Heading3"/>
      </w:pPr>
      <w:r>
        <w:t>16 重要治疗风险</w:t>
      </w:r>
    </w:p>
    <w:p>
      <w:r>
        <w:t>走失、跌倒、误吸、行为问题与药物反应。结合本例病情、器官功能和用药说明风险，不能因有风险便写已发生。</w:t>
      </w:r>
    </w:p>
    <w:p>
      <w:pPr>
        <w:pStyle w:val="Heading3"/>
      </w:pPr>
      <w:r>
        <w:t>17 可能发生的并发症</w:t>
      </w:r>
    </w:p>
    <w:p>
      <w:r>
        <w:t>走失、跌倒、误吸、行为问题与药物反应。若出现异常，记录发生时间、客观证据、鉴别、实际处置和复评，调用06。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现病史：【真实起病、演变与相关病史，重点核实知情人旁证、记忆执行语言、起病进展、ADL、教育及药物】</w:t>
      </w:r>
    </w:p>
    <w:p>
      <w:pPr>
        <w:pStyle w:val="ClinicalBody"/>
      </w:pPr>
      <w:r>
        <w:t>既往史与用药：【真实内容及状态】</w:t>
      </w:r>
    </w:p>
    <w:p>
      <w:pPr>
        <w:pStyle w:val="ClinicalBody"/>
      </w:pPr>
      <w:r>
        <w:t>神经系统检查：【本次实际注意定向记忆、语言执行、神经系统和谵妄检查】</w:t>
      </w:r>
    </w:p>
    <w:p>
      <w:pPr>
        <w:pStyle w:val="ClinicalBody"/>
      </w:pPr>
      <w:r>
        <w:t>辅助检查：【已完成的神经心理、MRI、代谢可逆原因；特定情况下CSF/PET或经核验标志物及日期】</w:t>
      </w:r>
    </w:p>
    <w:p>
      <w:pPr>
        <w:pStyle w:val="ClinicalBody"/>
      </w:pPr>
      <w:r>
        <w:t>初步诊断：【阿尔茨海默病与轻度认知障碍的诊断名称及确定度】，依据【真实支持资料】，尚需鉴别【本例实际备选】。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认知网络模式与结构影像对应，不由脑萎缩直接确诊说明】。定性及诊断依据：【对照认知下降及功能影响、排其他解释；MCI与痴呆需实际功能证据，分生物学与临床诊断列出本例满足项及证据缺口】。鉴别诊断：【针对谵妄、抑郁、药物、血管、DLB、FTD及可逆病因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注意定向记忆、语言执行、神经系统和谵妄检查】。辅助检查【实际新结果及神经心理、MRI、代谢可逆原因；特定情况下CSF/PET或经核验标志物中相关变化】。目前【阿尔茨海默病与轻度认知障碍的诊断确定度及当前问题】，已实施【真实治疗与反应】，后续拟【实际计划】，重点观察【本例风险和功能和照护负担、药物效益风险及决策能力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注意定向记忆、语言执行、神经系统和谵妄检查实测结果】，检查【实际结果】。主治医师分析：【结合本例阿尔茨海默病与轻度认知障碍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认知网络模式与结构影像对应，不由脑萎缩直接确诊与本例证据的吻合程度，分析神经变性及混合病理可能，生物标志物与临床状态分别表达的证据充分度；结合MMSE/MoCA等版本及教育影响，严重度结合ADL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阿尔茨海默病与轻度认知障碍及竞争诊断，结合本例抗淀粉样治疗不由诊断自动启动，需获批范围、标志物和ARIA/出血风险评估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注意定向记忆、语言执行、神经系统和谵妄检查中可评项目】。需重点鉴别【谵妄、抑郁、药物、血管、DLB、FTD及可逆病因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注意定向记忆、语言执行、神经系统和谵妄检查的客观变化】，辅助检查【真实结果】。与【明确基线】相比【有证据疗效或尚不能评价】，不良反应及并发症【实际已查内容】，后续【医师确定监测及功能和照护负担、药物效益风险及决策能力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诊疗经过：【阿尔茨海默病与轻度认知障碍证据、诊断修正、真实治疗及疗效】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出院医嘱：【已审核药物、功能和照护负担、药物效益风险及决策能力中适用复查及具体警戒症状】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功能和照护负担、药物效益风险及决策能力中已决定项目】。若出现【本例需警戒的新缺损、意识、呼吸、发作或出血症状】，及时就诊。</w:t>
      </w:r>
    </w:p>
    <w:p>
      <w:pPr>
        <w:pStyle w:val="CodeFence"/>
      </w:pPr>
      <w:r>
        <w:t>```</w:t>
      </w:r>
    </w:p>
    <w:p>
      <w:pPr>
        <w:pStyle w:val="Heading3"/>
      </w:pPr>
      <w:r>
        <w:t>28 关键质控要点</w:t>
      </w:r>
    </w:p>
    <w:p>
      <w:r>
        <w:t>认知下降及功能影响、排其他解释；MCI与痴呆需实际功能证据，分生物学与临床诊断；抗淀粉样治疗不由诊断自动启动，需获批范围、标志物和ARIA/出血风险评估。侧别、时点、证据、确定度、计划执行及当次查体须一致；走失、跌倒、误吸、行为问题与药物反应只能在有事实时作为并发症诊断。</w:t>
      </w:r>
    </w:p>
    <w:p>
      <w:pPr>
        <w:pStyle w:val="Heading3"/>
      </w:pPr>
      <w:r>
        <w:t>29 指南与循证医学来源</w:t>
      </w:r>
    </w:p>
    <w:p>
      <w:r>
        <w:t>本章依据本模块来源 R15、R16、R25、R31 的适用部分组织。具体采用版本、条目与证据等级须写入本例决策；未核验标准不作为自动治疗门槛。来源的已核验范围和限制见文末，不将每一条综述性书写提示伪装成指南推荐。</w:t>
      </w:r>
    </w:p>
    <w:p>
      <w:pPr>
        <w:pStyle w:val="Heading2"/>
      </w:pPr>
      <w:r>
        <w:t>04 血管性认知障碍</w:t>
      </w:r>
    </w:p>
    <w:p>
      <w:pPr>
        <w:pStyle w:val="Heading3"/>
      </w:pPr>
      <w:r>
        <w:t>01 疾病定义</w:t>
      </w:r>
    </w:p>
    <w:p>
      <w:r>
        <w:t>脑血管病相关认知功能受损谱系。</w:t>
      </w:r>
    </w:p>
    <w:p>
      <w:pPr>
        <w:pStyle w:val="Heading3"/>
      </w:pPr>
      <w:r>
        <w:t>02 病因及发病机制</w:t>
      </w:r>
    </w:p>
    <w:p>
      <w:r>
        <w:t>大血管卒中、小血管、战略部位和混合病理。</w:t>
      </w:r>
    </w:p>
    <w:p>
      <w:pPr>
        <w:pStyle w:val="Heading3"/>
      </w:pPr>
      <w:r>
        <w:t>03 临床表现</w:t>
      </w:r>
    </w:p>
    <w:p>
      <w:r>
        <w:t>认知与卒中时间关系、阶梯/渐进、步态及危险因素。症状可能并非全部出现，正式病历只记录本例实际表现。</w:t>
      </w:r>
    </w:p>
    <w:p>
      <w:pPr>
        <w:pStyle w:val="Heading3"/>
      </w:pPr>
      <w:r>
        <w:t>04 病史采集要点</w:t>
      </w:r>
    </w:p>
    <w:p>
      <w:r>
        <w:t>认知与卒中时间关系、阶梯/渐进、步态及危险因素。必须注明患者自述、家属旁证或既往记录的实际来源及时间。</w:t>
      </w:r>
    </w:p>
    <w:p>
      <w:pPr>
        <w:pStyle w:val="Heading3"/>
      </w:pPr>
      <w:r>
        <w:t>05 神经系统专科检查</w:t>
      </w:r>
    </w:p>
    <w:p>
      <w:r>
        <w:t>执行注意、记忆、语言、局灶和步态。未查项目不写阴性，量表只用真实评估。</w:t>
      </w:r>
    </w:p>
    <w:p>
      <w:pPr>
        <w:pStyle w:val="Heading3"/>
      </w:pPr>
      <w:r>
        <w:t>06 定位诊断</w:t>
      </w:r>
    </w:p>
    <w:p>
      <w:r>
        <w:t>血管病变与受损认知网络因果对应。结论附支持证据与不吻合项。</w:t>
      </w:r>
    </w:p>
    <w:p>
      <w:pPr>
        <w:pStyle w:val="Heading3"/>
      </w:pPr>
      <w:r>
        <w:t>07 定性诊断</w:t>
      </w:r>
    </w:p>
    <w:p>
      <w:r>
        <w:t>大血管卒中、小血管、战略部位和混合病理。结合起病、演变及MRI白质/梗死/微出血、认知和功能、可逆因素判断，保留确定度。</w:t>
      </w:r>
    </w:p>
    <w:p>
      <w:pPr>
        <w:pStyle w:val="Heading3"/>
      </w:pPr>
      <w:r>
        <w:t>08 重要辅助检查</w:t>
      </w:r>
    </w:p>
    <w:p>
      <w:r>
        <w:t>MRI白质/梗死/微出血、认知和功能、可逆因素。报告原文与临床推断按04分开。</w:t>
      </w:r>
    </w:p>
    <w:p>
      <w:pPr>
        <w:pStyle w:val="Heading3"/>
      </w:pPr>
      <w:r>
        <w:t>09 诊断标准</w:t>
      </w:r>
    </w:p>
    <w:p>
      <w:r>
        <w:t>有认知受损及血管证据和合理联系，不能由白质高信号直接确诊。诊断标准版本不清或关键证据未全时，仅写临床考虑并列待核实项。</w:t>
      </w:r>
    </w:p>
    <w:p>
      <w:pPr>
        <w:pStyle w:val="Heading3"/>
      </w:pPr>
      <w:r>
        <w:t>10 诊断依据</w:t>
      </w:r>
    </w:p>
    <w:p>
      <w:r>
        <w:t>将本例真实病程、执行注意、记忆、语言、局灶和步态及MRI白质/梗死/微出血、认知和功能、可逆因素逐项对应；不把疾病常见表现写成患者已具备。</w:t>
      </w:r>
    </w:p>
    <w:p>
      <w:pPr>
        <w:pStyle w:val="Heading3"/>
      </w:pPr>
      <w:r>
        <w:t>11 鉴别诊断</w:t>
      </w:r>
    </w:p>
    <w:p>
      <w:r>
        <w:t>AD混合、DLB、谵妄、抑郁和NPH。逐项写本例支持、反对及尚缺证据，而不是无依据全部排除。</w:t>
      </w:r>
    </w:p>
    <w:p>
      <w:pPr>
        <w:pStyle w:val="Heading3"/>
      </w:pPr>
      <w:r>
        <w:t>12 分型分级或危险分层</w:t>
      </w:r>
    </w:p>
    <w:p>
      <w:r>
        <w:t>程度按真实测试及功能，混合病理保留。</w:t>
      </w:r>
    </w:p>
    <w:p>
      <w:pPr>
        <w:pStyle w:val="Heading3"/>
      </w:pPr>
      <w:r>
        <w:t>13 临床严重程度评估</w:t>
      </w:r>
    </w:p>
    <w:p>
      <w:r>
        <w:t>执行注意、记忆、语言、局灶和步态；结合程度按真实测试及功能，混合病理保留及呼吸循环/生活功能，记录严重度依据与限制。</w:t>
      </w:r>
    </w:p>
    <w:p>
      <w:pPr>
        <w:pStyle w:val="Heading3"/>
      </w:pPr>
      <w:r>
        <w:t>14 治疗原则</w:t>
      </w:r>
    </w:p>
    <w:p>
      <w:r>
        <w:t>血管预防和康复，药物按具体认知病因与适应性。医学原则、拟定计划、已执行及停用状态由07分别记录。</w:t>
      </w:r>
    </w:p>
    <w:p>
      <w:pPr>
        <w:pStyle w:val="Heading3"/>
      </w:pPr>
      <w:r>
        <w:t>15 特殊治疗适应性评估</w:t>
      </w:r>
    </w:p>
    <w:p>
      <w:r>
        <w:t>抗栓依据血管适应证及微出血风险，不为认知单独默认抗栓。应同时核实禁忌证、替代方案和实际医师决定。</w:t>
      </w:r>
    </w:p>
    <w:p>
      <w:pPr>
        <w:pStyle w:val="Heading3"/>
      </w:pPr>
      <w:r>
        <w:t>16 重要治疗风险</w:t>
      </w:r>
    </w:p>
    <w:p>
      <w:r>
        <w:t>卒中复发、跌倒及功能依赖。结合本例病情、器官功能和用药说明风险，不能因有风险便写已发生。</w:t>
      </w:r>
    </w:p>
    <w:p>
      <w:pPr>
        <w:pStyle w:val="Heading3"/>
      </w:pPr>
      <w:r>
        <w:t>17 可能发生的并发症</w:t>
      </w:r>
    </w:p>
    <w:p>
      <w:r>
        <w:t>卒中复发、跌倒及功能依赖。若出现异常，记录发生时间、客观证据、鉴别、实际处置和复评，调用06。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现病史：【真实起病、演变与相关病史，重点核实认知与卒中时间关系、阶梯/渐进、步态及危险因素】</w:t>
      </w:r>
    </w:p>
    <w:p>
      <w:pPr>
        <w:pStyle w:val="ClinicalBody"/>
      </w:pPr>
      <w:r>
        <w:t>既往史与用药：【真实内容及状态】</w:t>
      </w:r>
    </w:p>
    <w:p>
      <w:pPr>
        <w:pStyle w:val="ClinicalBody"/>
      </w:pPr>
      <w:r>
        <w:t>神经系统检查：【本次实际执行注意、记忆、语言、局灶和步态】</w:t>
      </w:r>
    </w:p>
    <w:p>
      <w:pPr>
        <w:pStyle w:val="ClinicalBody"/>
      </w:pPr>
      <w:r>
        <w:t>辅助检查：【已完成的MRI白质/梗死/微出血、认知和功能、可逆因素及日期】</w:t>
      </w:r>
    </w:p>
    <w:p>
      <w:pPr>
        <w:pStyle w:val="ClinicalBody"/>
      </w:pPr>
      <w:r>
        <w:t>初步诊断：【血管性认知障碍的诊断名称及确定度】，依据【真实支持资料】，尚需鉴别【本例实际备选】。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血管病变与受损认知网络因果对应说明】。定性及诊断依据：【对照有认知受损及血管证据和合理联系，不能由白质高信号直接确诊列出本例满足项及证据缺口】。鉴别诊断：【针对AD混合、DLB、谵妄、抑郁和NPH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执行注意、记忆、语言、局灶和步态】。辅助检查【实际新结果及MRI白质/梗死/微出血、认知和功能、可逆因素中相关变化】。目前【血管性认知障碍的诊断确定度及当前问题】，已实施【真实治疗与反应】，后续拟【实际计划】，重点观察【本例风险和认知执行、步态、ADL及血管风险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执行注意、记忆、语言、局灶和步态实测结果】，检查【实际结果】。主治医师分析：【结合本例血管性认知障碍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血管病变与受损认知网络因果对应与本例证据的吻合程度，分析大血管卒中、小血管、战略部位和混合病理的证据充分度；结合程度按真实测试及功能，混合病理保留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血管性认知障碍及竞争诊断，结合本例抗栓依据血管适应证及微出血风险，不为认知单独默认抗栓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执行注意、记忆、语言、局灶和步态中可评项目】。需重点鉴别【AD混合、DLB、谵妄、抑郁和NPH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执行注意、记忆、语言、局灶和步态的客观变化】，辅助检查【真实结果】。与【明确基线】相比【有证据疗效或尚不能评价】，不良反应及并发症【实际已查内容】，后续【医师确定监测及认知执行、步态、ADL及血管风险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诊疗经过：【血管性认知障碍证据、诊断修正、真实治疗及疗效】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出院医嘱：【已审核药物、认知执行、步态、ADL及血管风险中适用复查及具体警戒症状】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认知执行、步态、ADL及血管风险中已决定项目】。若出现【本例需警戒的新缺损、意识、呼吸、发作或出血症状】，及时就诊。</w:t>
      </w:r>
    </w:p>
    <w:p>
      <w:pPr>
        <w:pStyle w:val="CodeFence"/>
      </w:pPr>
      <w:r>
        <w:t>```</w:t>
      </w:r>
    </w:p>
    <w:p>
      <w:pPr>
        <w:pStyle w:val="Heading3"/>
      </w:pPr>
      <w:r>
        <w:t>28 关键质控要点</w:t>
      </w:r>
    </w:p>
    <w:p>
      <w:r>
        <w:t>有认知受损及血管证据和合理联系，不能由白质高信号直接确诊；抗栓依据血管适应证及微出血风险，不为认知单独默认抗栓。侧别、时点、证据、确定度、计划执行及当次查体须一致；卒中复发、跌倒及功能依赖只能在有事实时作为并发症诊断。</w:t>
      </w:r>
    </w:p>
    <w:p>
      <w:pPr>
        <w:pStyle w:val="Heading3"/>
      </w:pPr>
      <w:r>
        <w:t>29 指南与循证医学来源</w:t>
      </w:r>
    </w:p>
    <w:p>
      <w:r>
        <w:t>本章依据本模块来源 R15、R16、R25、R31 的适用部分组织。具体采用版本、条目与证据等级须写入本例决策；未核验标准不作为自动治疗门槛。来源的已核验范围和限制见文末，不将每一条综述性书写提示伪装成指南推荐。</w:t>
      </w:r>
    </w:p>
    <w:p>
      <w:pPr>
        <w:pStyle w:val="Heading2"/>
      </w:pPr>
      <w:r>
        <w:t>05 路易体痴呆</w:t>
      </w:r>
    </w:p>
    <w:p>
      <w:pPr>
        <w:pStyle w:val="Heading3"/>
      </w:pPr>
      <w:r>
        <w:t>01 疾病定义</w:t>
      </w:r>
    </w:p>
    <w:p>
      <w:r>
        <w:t>认知波动、视幻觉、帕金森表现及REM睡眠行为等特征的痴呆。</w:t>
      </w:r>
    </w:p>
    <w:p>
      <w:pPr>
        <w:pStyle w:val="Heading3"/>
      </w:pPr>
      <w:r>
        <w:t>02 病因及发病机制</w:t>
      </w:r>
    </w:p>
    <w:p>
      <w:r>
        <w:t>路易体相关多网络病变。</w:t>
      </w:r>
    </w:p>
    <w:p>
      <w:pPr>
        <w:pStyle w:val="Heading3"/>
      </w:pPr>
      <w:r>
        <w:t>03 临床表现</w:t>
      </w:r>
    </w:p>
    <w:p>
      <w:r>
        <w:t>波动、清晰视幻觉、RBD、运动与认知先后及药物敏感。症状可能并非全部出现，正式病历只记录本例实际表现。</w:t>
      </w:r>
    </w:p>
    <w:p>
      <w:pPr>
        <w:pStyle w:val="Heading3"/>
      </w:pPr>
      <w:r>
        <w:t>04 病史采集要点</w:t>
      </w:r>
    </w:p>
    <w:p>
      <w:r>
        <w:t>波动、清晰视幻觉、RBD、运动与认知先后及药物敏感。必须注明患者自述、家属旁证或既往记录的实际来源及时间。</w:t>
      </w:r>
    </w:p>
    <w:p>
      <w:pPr>
        <w:pStyle w:val="Heading3"/>
      </w:pPr>
      <w:r>
        <w:t>05 神经系统专科检查</w:t>
      </w:r>
    </w:p>
    <w:p>
      <w:r>
        <w:t>认知注意视空间、帕金森、自主神经及步态。未查项目不写阴性，量表只用真实评估。</w:t>
      </w:r>
    </w:p>
    <w:p>
      <w:pPr>
        <w:pStyle w:val="Heading3"/>
      </w:pPr>
      <w:r>
        <w:t>06 定位诊断</w:t>
      </w:r>
    </w:p>
    <w:p>
      <w:r>
        <w:t>注意视空间和运动自主网络。结论附支持证据与不吻合项。</w:t>
      </w:r>
    </w:p>
    <w:p>
      <w:pPr>
        <w:pStyle w:val="Heading3"/>
      </w:pPr>
      <w:r>
        <w:t>07 定性诊断</w:t>
      </w:r>
    </w:p>
    <w:p>
      <w:r>
        <w:t>路易体相关多网络病变。结合起病、演变及神经心理、结构影像及适应证下生物标志判断，保留确定度。</w:t>
      </w:r>
    </w:p>
    <w:p>
      <w:pPr>
        <w:pStyle w:val="Heading3"/>
      </w:pPr>
      <w:r>
        <w:t>08 重要辅助检查</w:t>
      </w:r>
    </w:p>
    <w:p>
      <w:r>
        <w:t>神经心理、结构影像及适应证下生物标志。报告原文与临床推断按04分开。</w:t>
      </w:r>
    </w:p>
    <w:p>
      <w:pPr>
        <w:pStyle w:val="Heading3"/>
      </w:pPr>
      <w:r>
        <w:t>09 诊断标准</w:t>
      </w:r>
    </w:p>
    <w:p>
      <w:r>
        <w:t>按核心特征与指示性生物标志及采用标准判定，认知与运动时间关系区分PDD。诊断标准版本不清或关键证据未全时，仅写临床考虑并列待核实项。</w:t>
      </w:r>
    </w:p>
    <w:p>
      <w:pPr>
        <w:pStyle w:val="Heading3"/>
      </w:pPr>
      <w:r>
        <w:t>10 诊断依据</w:t>
      </w:r>
    </w:p>
    <w:p>
      <w:r>
        <w:t>将本例真实病程、认知注意视空间、帕金森、自主神经及步态及神经心理、结构影像及适应证下生物标志逐项对应；不把疾病常见表现写成患者已具备。</w:t>
      </w:r>
    </w:p>
    <w:p>
      <w:pPr>
        <w:pStyle w:val="Heading3"/>
      </w:pPr>
      <w:r>
        <w:t>11 鉴别诊断</w:t>
      </w:r>
    </w:p>
    <w:p>
      <w:r>
        <w:t>AD、PD痴呆、药物谵妄及精神病。逐项写本例支持、反对及尚缺证据，而不是无依据全部排除。</w:t>
      </w:r>
    </w:p>
    <w:p>
      <w:pPr>
        <w:pStyle w:val="Heading3"/>
      </w:pPr>
      <w:r>
        <w:t>12 分型分级或危险分层</w:t>
      </w:r>
    </w:p>
    <w:p>
      <w:r>
        <w:t>真实功能严重度，不能仅幻觉一项确诊。</w:t>
      </w:r>
    </w:p>
    <w:p>
      <w:pPr>
        <w:pStyle w:val="Heading3"/>
      </w:pPr>
      <w:r>
        <w:t>13 临床严重程度评估</w:t>
      </w:r>
    </w:p>
    <w:p>
      <w:r>
        <w:t>认知注意视空间、帕金森、自主神经及步态；结合真实功能严重度，不能仅幻觉一项确诊及呼吸循环/生活功能，记录严重度依据与限制。</w:t>
      </w:r>
    </w:p>
    <w:p>
      <w:pPr>
        <w:pStyle w:val="Heading3"/>
      </w:pPr>
      <w:r>
        <w:t>14 治疗原则</w:t>
      </w:r>
    </w:p>
    <w:p>
      <w:r>
        <w:t>照护、认知及行为个体处理，谨慎抗精神病药敏感风险。医学原则、拟定计划、已执行及停用状态由07分别记录。</w:t>
      </w:r>
    </w:p>
    <w:p>
      <w:pPr>
        <w:pStyle w:val="Heading3"/>
      </w:pPr>
      <w:r>
        <w:t>15 特殊治疗适应性评估</w:t>
      </w:r>
    </w:p>
    <w:p>
      <w:r>
        <w:t>行为危险处理需专科评估，不默认常规强效多巴胺阻断剂。应同时核实禁忌证、替代方案和实际医师决定。</w:t>
      </w:r>
    </w:p>
    <w:p>
      <w:pPr>
        <w:pStyle w:val="Heading3"/>
      </w:pPr>
      <w:r>
        <w:t>16 重要治疗风险</w:t>
      </w:r>
    </w:p>
    <w:p>
      <w:r>
        <w:t>药物敏感、低血压、跌倒、误吸及照护负担。结合本例病情、器官功能和用药说明风险，不能因有风险便写已发生。</w:t>
      </w:r>
    </w:p>
    <w:p>
      <w:pPr>
        <w:pStyle w:val="Heading3"/>
      </w:pPr>
      <w:r>
        <w:t>17 可能发生的并发症</w:t>
      </w:r>
    </w:p>
    <w:p>
      <w:r>
        <w:t>药物敏感、低血压、跌倒、误吸及照护负担。若出现异常，记录发生时间、客观证据、鉴别、实际处置和复评，调用06。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现病史：【真实起病、演变与相关病史，重点核实波动、清晰视幻觉、RBD、运动与认知先后及药物敏感】</w:t>
      </w:r>
    </w:p>
    <w:p>
      <w:pPr>
        <w:pStyle w:val="ClinicalBody"/>
      </w:pPr>
      <w:r>
        <w:t>既往史与用药：【真实内容及状态】</w:t>
      </w:r>
    </w:p>
    <w:p>
      <w:pPr>
        <w:pStyle w:val="ClinicalBody"/>
      </w:pPr>
      <w:r>
        <w:t>神经系统检查：【本次实际认知注意视空间、帕金森、自主神经及步态】</w:t>
      </w:r>
    </w:p>
    <w:p>
      <w:pPr>
        <w:pStyle w:val="ClinicalBody"/>
      </w:pPr>
      <w:r>
        <w:t>辅助检查：【已完成的神经心理、结构影像及适应证下生物标志及日期】</w:t>
      </w:r>
    </w:p>
    <w:p>
      <w:pPr>
        <w:pStyle w:val="ClinicalBody"/>
      </w:pPr>
      <w:r>
        <w:t>初步诊断：【路易体痴呆的诊断名称及确定度】，依据【真实支持资料】，尚需鉴别【本例实际备选】。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注意视空间和运动自主网络说明】。定性及诊断依据：【对照按核心特征与指示性生物标志及采用标准判定，认知与运动时间关系区分PDD列出本例满足项及证据缺口】。鉴别诊断：【针对AD、PD痴呆、药物谵妄及精神病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认知注意视空间、帕金森、自主神经及步态】。辅助检查【实际新结果及神经心理、结构影像及适应证下生物标志中相关变化】。目前【路易体痴呆的诊断确定度及当前问题】，已实施【真实治疗与反应】，后续拟【实际计划】，重点观察【本例风险和波动、行为、睡眠、药物和生活功能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认知注意视空间、帕金森、自主神经及步态实测结果】，检查【实际结果】。主治医师分析：【结合本例路易体痴呆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注意视空间和运动自主网络与本例证据的吻合程度，分析路易体相关多网络病变的证据充分度；结合真实功能严重度，不能仅幻觉一项确诊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路易体痴呆及竞争诊断，结合本例行为危险处理需专科评估，不默认常规强效多巴胺阻断剂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认知注意视空间、帕金森、自主神经及步态中可评项目】。需重点鉴别【AD、PD痴呆、药物谵妄及精神病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认知注意视空间、帕金森、自主神经及步态的客观变化】，辅助检查【真实结果】。与【明确基线】相比【有证据疗效或尚不能评价】，不良反应及并发症【实际已查内容】，后续【医师确定监测及波动、行为、睡眠、药物和生活功能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诊疗经过：【路易体痴呆证据、诊断修正、真实治疗及疗效】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出院医嘱：【已审核药物、波动、行为、睡眠、药物和生活功能中适用复查及具体警戒症状】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波动、行为、睡眠、药物和生活功能中已决定项目】。若出现【本例需警戒的新缺损、意识、呼吸、发作或出血症状】，及时就诊。</w:t>
      </w:r>
    </w:p>
    <w:p>
      <w:pPr>
        <w:pStyle w:val="CodeFence"/>
      </w:pPr>
      <w:r>
        <w:t>```</w:t>
      </w:r>
    </w:p>
    <w:p>
      <w:pPr>
        <w:pStyle w:val="Heading3"/>
      </w:pPr>
      <w:r>
        <w:t>28 关键质控要点</w:t>
      </w:r>
    </w:p>
    <w:p>
      <w:r>
        <w:t>按核心特征与指示性生物标志及采用标准判定，认知与运动时间关系区分PDD；行为危险处理需专科评估，不默认常规强效多巴胺阻断剂。侧别、时点、证据、确定度、计划执行及当次查体须一致；药物敏感、低血压、跌倒、误吸及照护负担只能在有事实时作为并发症诊断。</w:t>
      </w:r>
    </w:p>
    <w:p>
      <w:pPr>
        <w:pStyle w:val="Heading3"/>
      </w:pPr>
      <w:r>
        <w:t>29 指南与循证医学来源</w:t>
      </w:r>
    </w:p>
    <w:p>
      <w:r>
        <w:t>本章依据本模块来源 R15、R16、R25、R31 的适用部分组织。具体采用版本、条目与证据等级须写入本例决策；未核验标准不作为自动治疗门槛。来源的已核验范围和限制见文末，不将每一条综述性书写提示伪装成指南推荐。</w:t>
      </w:r>
    </w:p>
    <w:p>
      <w:pPr>
        <w:pStyle w:val="Heading2"/>
      </w:pPr>
      <w:r>
        <w:t>06 额颞叶变性</w:t>
      </w:r>
    </w:p>
    <w:p>
      <w:pPr>
        <w:pStyle w:val="Heading3"/>
      </w:pPr>
      <w:r>
        <w:t>01 疾病定义</w:t>
      </w:r>
    </w:p>
    <w:p>
      <w:r>
        <w:t>以行为、语言或相关功能早期突出损害的变性病组。</w:t>
      </w:r>
    </w:p>
    <w:p>
      <w:pPr>
        <w:pStyle w:val="Heading3"/>
      </w:pPr>
      <w:r>
        <w:t>02 病因及发病机制</w:t>
      </w:r>
    </w:p>
    <w:p>
      <w:r>
        <w:t>额颞网络退行，可伴运动神经元或其他变性表现。</w:t>
      </w:r>
    </w:p>
    <w:p>
      <w:pPr>
        <w:pStyle w:val="Heading3"/>
      </w:pPr>
      <w:r>
        <w:t>03 临床表现</w:t>
      </w:r>
    </w:p>
    <w:p>
      <w:r>
        <w:t>人格社会行为、饮食、执行或原发进行性失语及家族。症状可能并非全部出现，正式病历只记录本例实际表现。</w:t>
      </w:r>
    </w:p>
    <w:p>
      <w:pPr>
        <w:pStyle w:val="Heading3"/>
      </w:pPr>
      <w:r>
        <w:t>04 病史采集要点</w:t>
      </w:r>
    </w:p>
    <w:p>
      <w:r>
        <w:t>人格社会行为、饮食、执行或原发进行性失语及家族。必须注明患者自述、家属旁证或既往记录的实际来源及时间。</w:t>
      </w:r>
    </w:p>
    <w:p>
      <w:pPr>
        <w:pStyle w:val="Heading3"/>
      </w:pPr>
      <w:r>
        <w:t>05 神经系统专科检查</w:t>
      </w:r>
    </w:p>
    <w:p>
      <w:r>
        <w:t>行为认知语言、失用、运动神经元及锥体外系。未查项目不写阴性，量表只用真实评估。</w:t>
      </w:r>
    </w:p>
    <w:p>
      <w:pPr>
        <w:pStyle w:val="Heading3"/>
      </w:pPr>
      <w:r>
        <w:t>06 定位诊断</w:t>
      </w:r>
    </w:p>
    <w:p>
      <w:r>
        <w:t>额颞优势网络及语言亚型。结论附支持证据与不吻合项。</w:t>
      </w:r>
    </w:p>
    <w:p>
      <w:pPr>
        <w:pStyle w:val="Heading3"/>
      </w:pPr>
      <w:r>
        <w:t>07 定性诊断</w:t>
      </w:r>
    </w:p>
    <w:p>
      <w:r>
        <w:t>额颞网络退行，可伴运动神经元或其他变性表现。结合起病、演变及神经心理/语言、MRI，必要遗传及功能影像评估判断，保留确定度。</w:t>
      </w:r>
    </w:p>
    <w:p>
      <w:pPr>
        <w:pStyle w:val="Heading3"/>
      </w:pPr>
      <w:r>
        <w:t>08 重要辅助检查</w:t>
      </w:r>
    </w:p>
    <w:p>
      <w:r>
        <w:t>神经心理/语言、MRI，必要遗传及功能影像评估。报告原文与临床推断按04分开。</w:t>
      </w:r>
    </w:p>
    <w:p>
      <w:pPr>
        <w:pStyle w:val="Heading3"/>
      </w:pPr>
      <w:r>
        <w:t>09 诊断标准</w:t>
      </w:r>
    </w:p>
    <w:p>
      <w:r>
        <w:t>按行为型或语言亚型的具体标准，不能以额叶萎缩单项确诊。诊断标准版本不清或关键证据未全时，仅写临床考虑并列待核实项。</w:t>
      </w:r>
    </w:p>
    <w:p>
      <w:pPr>
        <w:pStyle w:val="Heading3"/>
      </w:pPr>
      <w:r>
        <w:t>10 诊断依据</w:t>
      </w:r>
    </w:p>
    <w:p>
      <w:r>
        <w:t>将本例真实病程、行为认知语言、失用、运动神经元及锥体外系及神经心理/语言、MRI，必要遗传及功能影像评估逐项对应；不把疾病常见表现写成患者已具备。</w:t>
      </w:r>
    </w:p>
    <w:p>
      <w:pPr>
        <w:pStyle w:val="Heading3"/>
      </w:pPr>
      <w:r>
        <w:t>11 鉴别诊断</w:t>
      </w:r>
    </w:p>
    <w:p>
      <w:r>
        <w:t>精神障碍、AD、结构病变、药物和免疫。逐项写本例支持、反对及尚缺证据，而不是无依据全部排除。</w:t>
      </w:r>
    </w:p>
    <w:p>
      <w:pPr>
        <w:pStyle w:val="Heading3"/>
      </w:pPr>
      <w:r>
        <w:t>12 分型分级或危险分层</w:t>
      </w:r>
    </w:p>
    <w:p>
      <w:r>
        <w:t>临床亚型与功能，遗传检查需实际沟通。</w:t>
      </w:r>
    </w:p>
    <w:p>
      <w:pPr>
        <w:pStyle w:val="Heading3"/>
      </w:pPr>
      <w:r>
        <w:t>13 临床严重程度评估</w:t>
      </w:r>
    </w:p>
    <w:p>
      <w:r>
        <w:t>行为认知语言、失用、运动神经元及锥体外系；结合临床亚型与功能，遗传检查需实际沟通及呼吸循环/生活功能，记录严重度依据与限制。</w:t>
      </w:r>
    </w:p>
    <w:p>
      <w:pPr>
        <w:pStyle w:val="Heading3"/>
      </w:pPr>
      <w:r>
        <w:t>14 治疗原则</w:t>
      </w:r>
    </w:p>
    <w:p>
      <w:r>
        <w:t>行为环境管理、语言支持和照护，药物针对症状。医学原则、拟定计划、已执行及停用状态由07分别记录。</w:t>
      </w:r>
    </w:p>
    <w:p>
      <w:pPr>
        <w:pStyle w:val="Heading3"/>
      </w:pPr>
      <w:r>
        <w:t>15 特殊治疗适应性评估</w:t>
      </w:r>
    </w:p>
    <w:p>
      <w:r>
        <w:t>遗传及新疗法适应性须专科与知情，不虚构基因阳性。应同时核实禁忌证、替代方案和实际医师决定。</w:t>
      </w:r>
    </w:p>
    <w:p>
      <w:pPr>
        <w:pStyle w:val="Heading3"/>
      </w:pPr>
      <w:r>
        <w:t>16 重要治疗风险</w:t>
      </w:r>
    </w:p>
    <w:p>
      <w:r>
        <w:t>冲动风险、营养及照护负担。结合本例病情、器官功能和用药说明风险，不能因有风险便写已发生。</w:t>
      </w:r>
    </w:p>
    <w:p>
      <w:pPr>
        <w:pStyle w:val="Heading3"/>
      </w:pPr>
      <w:r>
        <w:t>17 可能发生的并发症</w:t>
      </w:r>
    </w:p>
    <w:p>
      <w:r>
        <w:t>冲动风险、营养及照护负担。若出现异常，记录发生时间、客观证据、鉴别、实际处置和复评，调用06。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现病史：【真实起病、演变与相关病史，重点核实人格社会行为、饮食、执行或原发进行性失语及家族】</w:t>
      </w:r>
    </w:p>
    <w:p>
      <w:pPr>
        <w:pStyle w:val="ClinicalBody"/>
      </w:pPr>
      <w:r>
        <w:t>既往史与用药：【真实内容及状态】</w:t>
      </w:r>
    </w:p>
    <w:p>
      <w:pPr>
        <w:pStyle w:val="ClinicalBody"/>
      </w:pPr>
      <w:r>
        <w:t>神经系统检查：【本次实际行为认知语言、失用、运动神经元及锥体外系】</w:t>
      </w:r>
    </w:p>
    <w:p>
      <w:pPr>
        <w:pStyle w:val="ClinicalBody"/>
      </w:pPr>
      <w:r>
        <w:t>辅助检查：【已完成的神经心理/语言、MRI，必要遗传及功能影像评估及日期】</w:t>
      </w:r>
    </w:p>
    <w:p>
      <w:pPr>
        <w:pStyle w:val="ClinicalBody"/>
      </w:pPr>
      <w:r>
        <w:t>初步诊断：【额颞叶变性的诊断名称及确定度】，依据【真实支持资料】，尚需鉴别【本例实际备选】。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额颞优势网络及语言亚型说明】。定性及诊断依据：【对照按行为型或语言亚型的具体标准，不能以额叶萎缩单项确诊列出本例满足项及证据缺口】。鉴别诊断：【针对精神障碍、AD、结构病变、药物和免疫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行为认知语言、失用、运动神经元及锥体外系】。辅助检查【实际新结果及神经心理/语言、MRI，必要遗传及功能影像评估中相关变化】。目前【额颞叶变性的诊断确定度及当前问题】，已实施【真实治疗与反应】，后续拟【实际计划】，重点观察【本例风险和行为语言、进食、能力及家属支持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行为认知语言、失用、运动神经元及锥体外系实测结果】，检查【实际结果】。主治医师分析：【结合本例额颞叶变性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额颞优势网络及语言亚型与本例证据的吻合程度，分析额颞网络退行，可伴运动神经元或其他变性表现的证据充分度；结合临床亚型与功能，遗传检查需实际沟通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额颞叶变性及竞争诊断，结合本例遗传及新疗法适应性须专科与知情，不虚构基因阳性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行为认知语言、失用、运动神经元及锥体外系中可评项目】。需重点鉴别【精神障碍、AD、结构病变、药物和免疫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行为认知语言、失用、运动神经元及锥体外系的客观变化】，辅助检查【真实结果】。与【明确基线】相比【有证据疗效或尚不能评价】，不良反应及并发症【实际已查内容】，后续【医师确定监测及行为语言、进食、能力及家属支持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诊疗经过：【额颞叶变性证据、诊断修正、真实治疗及疗效】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出院医嘱：【已审核药物、行为语言、进食、能力及家属支持中适用复查及具体警戒症状】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行为语言、进食、能力及家属支持中已决定项目】。若出现【本例需警戒的新缺损、意识、呼吸、发作或出血症状】，及时就诊。</w:t>
      </w:r>
    </w:p>
    <w:p>
      <w:pPr>
        <w:pStyle w:val="CodeFence"/>
      </w:pPr>
      <w:r>
        <w:t>```</w:t>
      </w:r>
    </w:p>
    <w:p>
      <w:pPr>
        <w:pStyle w:val="Heading3"/>
      </w:pPr>
      <w:r>
        <w:t>28 关键质控要点</w:t>
      </w:r>
    </w:p>
    <w:p>
      <w:r>
        <w:t>按行为型或语言亚型的具体标准，不能以额叶萎缩单项确诊；遗传及新疗法适应性须专科与知情，不虚构基因阳性。侧别、时点、证据、确定度、计划执行及当次查体须一致；冲动风险、营养及照护负担只能在有事实时作为并发症诊断。</w:t>
      </w:r>
    </w:p>
    <w:p>
      <w:pPr>
        <w:pStyle w:val="Heading3"/>
      </w:pPr>
      <w:r>
        <w:t>29 指南与循证医学来源</w:t>
      </w:r>
    </w:p>
    <w:p>
      <w:r>
        <w:t>本章依据本模块来源 R15、R16、R25、R31 的适用部分组织。具体采用版本、条目与证据等级须写入本例决策；未核验标准不作为自动治疗门槛。来源的已核验范围和限制见文末，不将每一条综述性书写提示伪装成指南推荐。</w:t>
      </w:r>
    </w:p>
    <w:p>
      <w:pPr>
        <w:pStyle w:val="Heading2"/>
      </w:pPr>
      <w:r>
        <w:t>07 共济失调及其他神经变性</w:t>
      </w:r>
    </w:p>
    <w:p>
      <w:pPr>
        <w:pStyle w:val="Heading3"/>
      </w:pPr>
      <w:r>
        <w:t>01 疾病定义</w:t>
      </w:r>
    </w:p>
    <w:p>
      <w:r>
        <w:t>进行性协调和平衡障碍可为变性亦可有可治疗病因。</w:t>
      </w:r>
    </w:p>
    <w:p>
      <w:pPr>
        <w:pStyle w:val="Heading3"/>
      </w:pPr>
      <w:r>
        <w:t>02 病因及发病机制</w:t>
      </w:r>
    </w:p>
    <w:p>
      <w:r>
        <w:t>遗传、毒性、营养、免疫、感染和退行需区分。</w:t>
      </w:r>
    </w:p>
    <w:p>
      <w:pPr>
        <w:pStyle w:val="Heading3"/>
      </w:pPr>
      <w:r>
        <w:t>03 临床表现</w:t>
      </w:r>
    </w:p>
    <w:p>
      <w:r>
        <w:t>起病年龄、进展、家族、酒药、营养及系统症状。症状可能并非全部出现，正式病历只记录本例实际表现。</w:t>
      </w:r>
    </w:p>
    <w:p>
      <w:pPr>
        <w:pStyle w:val="Heading3"/>
      </w:pPr>
      <w:r>
        <w:t>04 病史采集要点</w:t>
      </w:r>
    </w:p>
    <w:p>
      <w:r>
        <w:t>起病年龄、进展、家族、酒药、营养及系统症状。必须注明患者自述、家属旁证或既往记录的实际来源及时间。</w:t>
      </w:r>
    </w:p>
    <w:p>
      <w:pPr>
        <w:pStyle w:val="Heading3"/>
      </w:pPr>
      <w:r>
        <w:t>05 神经系统专科检查</w:t>
      </w:r>
    </w:p>
    <w:p>
      <w:r>
        <w:t>眼动、构音、肢体躯干共济、感觉深感及步态。未查项目不写阴性，量表只用真实评估。</w:t>
      </w:r>
    </w:p>
    <w:p>
      <w:pPr>
        <w:pStyle w:val="Heading3"/>
      </w:pPr>
      <w:r>
        <w:t>06 定位诊断</w:t>
      </w:r>
    </w:p>
    <w:p>
      <w:r>
        <w:t>小脑、感觉或前庭模式先区分。结论附支持证据与不吻合项。</w:t>
      </w:r>
    </w:p>
    <w:p>
      <w:pPr>
        <w:pStyle w:val="Heading3"/>
      </w:pPr>
      <w:r>
        <w:t>07 定性诊断</w:t>
      </w:r>
    </w:p>
    <w:p>
      <w:r>
        <w:t>遗传、毒性、营养、免疫、感染和退行需区分。结合起病、演变及MRI、营养代谢、免疫及适当遗传检查判断，保留确定度。</w:t>
      </w:r>
    </w:p>
    <w:p>
      <w:pPr>
        <w:pStyle w:val="Heading3"/>
      </w:pPr>
      <w:r>
        <w:t>08 重要辅助检查</w:t>
      </w:r>
    </w:p>
    <w:p>
      <w:r>
        <w:t>MRI、营养代谢、免疫及适当遗传检查。报告原文与临床推断按04分开。</w:t>
      </w:r>
    </w:p>
    <w:p>
      <w:pPr>
        <w:pStyle w:val="Heading3"/>
      </w:pPr>
      <w:r>
        <w:t>09 诊断标准</w:t>
      </w:r>
    </w:p>
    <w:p>
      <w:r>
        <w:t>综合表型与检查，未排可逆病因不直接写遗传变性。诊断标准版本不清或关键证据未全时，仅写临床考虑并列待核实项。</w:t>
      </w:r>
    </w:p>
    <w:p>
      <w:pPr>
        <w:pStyle w:val="Heading3"/>
      </w:pPr>
      <w:r>
        <w:t>10 诊断依据</w:t>
      </w:r>
    </w:p>
    <w:p>
      <w:r>
        <w:t>将本例真实病程、眼动、构音、肢体躯干共济、感觉深感及步态及MRI、营养代谢、免疫及适当遗传检查逐项对应；不把疾病常见表现写成患者已具备。</w:t>
      </w:r>
    </w:p>
    <w:p>
      <w:pPr>
        <w:pStyle w:val="Heading3"/>
      </w:pPr>
      <w:r>
        <w:t>11 鉴别诊断</w:t>
      </w:r>
    </w:p>
    <w:p>
      <w:r>
        <w:t>感觉性、前庭性、卒中、肿瘤和药毒。逐项写本例支持、反对及尚缺证据，而不是无依据全部排除。</w:t>
      </w:r>
    </w:p>
    <w:p>
      <w:pPr>
        <w:pStyle w:val="Heading3"/>
      </w:pPr>
      <w:r>
        <w:t>12 分型分级或危险分层</w:t>
      </w:r>
    </w:p>
    <w:p>
      <w:r>
        <w:t>真实SARA等工具及行走帮助，不能按不能走自动评分。</w:t>
      </w:r>
    </w:p>
    <w:p>
      <w:pPr>
        <w:pStyle w:val="Heading3"/>
      </w:pPr>
      <w:r>
        <w:t>13 临床严重程度评估</w:t>
      </w:r>
    </w:p>
    <w:p>
      <w:r>
        <w:t>眼动、构音、肢体躯干共济、感觉深感及步态；结合真实SARA等工具及行走帮助，不能按不能走自动评分及呼吸循环/生活功能，记录严重度依据与限制。</w:t>
      </w:r>
    </w:p>
    <w:p>
      <w:pPr>
        <w:pStyle w:val="Heading3"/>
      </w:pPr>
      <w:r>
        <w:t>14 治疗原则</w:t>
      </w:r>
    </w:p>
    <w:p>
      <w:r>
        <w:t>处理可逆病因、康复和辅助器具，遗传病专科管理。医学原则、拟定计划、已执行及停用状态由07分别记录。</w:t>
      </w:r>
    </w:p>
    <w:p>
      <w:pPr>
        <w:pStyle w:val="Heading3"/>
      </w:pPr>
      <w:r>
        <w:t>15 特殊治疗适应性评估</w:t>
      </w:r>
    </w:p>
    <w:p>
      <w:r>
        <w:t>基因解读需变异意义及遗传咨询，意义未明不写致病。应同时核实禁忌证、替代方案和实际医师决定。</w:t>
      </w:r>
    </w:p>
    <w:p>
      <w:pPr>
        <w:pStyle w:val="Heading3"/>
      </w:pPr>
      <w:r>
        <w:t>16 重要治疗风险</w:t>
      </w:r>
    </w:p>
    <w:p>
      <w:r>
        <w:t>跌倒、吞咽、营养及功能依赖。结合本例病情、器官功能和用药说明风险，不能因有风险便写已发生。</w:t>
      </w:r>
    </w:p>
    <w:p>
      <w:pPr>
        <w:pStyle w:val="Heading3"/>
      </w:pPr>
      <w:r>
        <w:t>17 可能发生的并发症</w:t>
      </w:r>
    </w:p>
    <w:p>
      <w:r>
        <w:t>跌倒、吞咽、营养及功能依赖。若出现异常，记录发生时间、客观证据、鉴别、实际处置和复评，调用06。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现病史：【真实起病、演变与相关病史，重点核实起病年龄、进展、家族、酒药、营养及系统症状】</w:t>
      </w:r>
    </w:p>
    <w:p>
      <w:pPr>
        <w:pStyle w:val="ClinicalBody"/>
      </w:pPr>
      <w:r>
        <w:t>既往史与用药：【真实内容及状态】</w:t>
      </w:r>
    </w:p>
    <w:p>
      <w:pPr>
        <w:pStyle w:val="ClinicalBody"/>
      </w:pPr>
      <w:r>
        <w:t>神经系统检查：【本次实际眼动、构音、肢体躯干共济、感觉深感及步态】</w:t>
      </w:r>
    </w:p>
    <w:p>
      <w:pPr>
        <w:pStyle w:val="ClinicalBody"/>
      </w:pPr>
      <w:r>
        <w:t>辅助检查：【已完成的MRI、营养代谢、免疫及适当遗传检查及日期】</w:t>
      </w:r>
    </w:p>
    <w:p>
      <w:pPr>
        <w:pStyle w:val="ClinicalBody"/>
      </w:pPr>
      <w:r>
        <w:t>初步诊断：【共济失调及其他神经变性的诊断名称及确定度】，依据【真实支持资料】，尚需鉴别【本例实际备选】。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小脑、感觉或前庭模式先区分说明】。定性及诊断依据：【对照综合表型与检查，未排可逆病因不直接写遗传变性列出本例满足项及证据缺口】。鉴别诊断：【针对感觉性、前庭性、卒中、肿瘤和药毒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眼动、构音、肢体躯干共济、感觉深感及步态】。辅助检查【实际新结果及MRI、营养代谢、免疫及适当遗传检查中相关变化】。目前【共济失调及其他神经变性的诊断确定度及当前问题】，已实施【真实治疗与反应】，后续拟【实际计划】，重点观察【本例风险和共济步态、吞咽及病因动态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眼动、构音、肢体躯干共济、感觉深感及步态实测结果】，检查【实际结果】。主治医师分析：【结合本例共济失调及其他神经变性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小脑、感觉或前庭模式先区分与本例证据的吻合程度，分析遗传、毒性、营养、免疫、感染和退行需区分的证据充分度；结合真实SARA等工具及行走帮助，不能按不能走自动评分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共济失调及其他神经变性及竞争诊断，结合本例基因解读需变异意义及遗传咨询，意义未明不写致病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眼动、构音、肢体躯干共济、感觉深感及步态中可评项目】。需重点鉴别【感觉性、前庭性、卒中、肿瘤和药毒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眼动、构音、肢体躯干共济、感觉深感及步态的客观变化】，辅助检查【真实结果】。与【明确基线】相比【有证据疗效或尚不能评价】，不良反应及并发症【实际已查内容】，后续【医师确定监测及共济步态、吞咽及病因动态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诊疗经过：【共济失调及其他神经变性证据、诊断修正、真实治疗及疗效】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出院医嘱：【已审核药物、共济步态、吞咽及病因动态中适用复查及具体警戒症状】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共济步态、吞咽及病因动态中已决定项目】。若出现【本例需警戒的新缺损、意识、呼吸、发作或出血症状】，及时就诊。</w:t>
      </w:r>
    </w:p>
    <w:p>
      <w:pPr>
        <w:pStyle w:val="CodeFence"/>
      </w:pPr>
      <w:r>
        <w:t>```</w:t>
      </w:r>
    </w:p>
    <w:p>
      <w:pPr>
        <w:pStyle w:val="Heading3"/>
      </w:pPr>
      <w:r>
        <w:t>28 关键质控要点</w:t>
      </w:r>
    </w:p>
    <w:p>
      <w:r>
        <w:t>综合表型与检查，未排可逆病因不直接写遗传变性；基因解读需变异意义及遗传咨询，意义未明不写致病。侧别、时点、证据、确定度、计划执行及当次查体须一致；跌倒、吞咽、营养及功能依赖只能在有事实时作为并发症诊断。</w:t>
      </w:r>
    </w:p>
    <w:p>
      <w:pPr>
        <w:pStyle w:val="Heading3"/>
      </w:pPr>
      <w:r>
        <w:t>29 指南与循证医学来源</w:t>
      </w:r>
    </w:p>
    <w:p>
      <w:r>
        <w:t>本章依据本模块来源 R15、R16、R25、R31 的适用部分组织。具体采用版本、条目与证据等级须写入本例决策；未核验标准不作为自动治疗门槛。来源的已核验范围和限制见文末，不将每一条综述性书写提示伪装成指南推荐。</w:t>
      </w:r>
    </w:p>
    <w:p>
      <w:pPr>
        <w:pStyle w:val="Heading2"/>
      </w:pPr>
      <w:r>
        <w:t>08 运动神经元病相关综合征</w:t>
      </w:r>
    </w:p>
    <w:p>
      <w:pPr>
        <w:pStyle w:val="Heading3"/>
      </w:pPr>
      <w:r>
        <w:t>01 疾病定义</w:t>
      </w:r>
    </w:p>
    <w:p>
      <w:r>
        <w:t>进行性上和/或下运动神经元损害的症候群。</w:t>
      </w:r>
    </w:p>
    <w:p>
      <w:pPr>
        <w:pStyle w:val="Heading3"/>
      </w:pPr>
      <w:r>
        <w:t>02 病因及发病机制</w:t>
      </w:r>
    </w:p>
    <w:p>
      <w:r>
        <w:t>运动神经元变性为可能病因之一，须排可治疗模拟病。</w:t>
      </w:r>
    </w:p>
    <w:p>
      <w:pPr>
        <w:pStyle w:val="Heading3"/>
      </w:pPr>
      <w:r>
        <w:t>03 临床表现</w:t>
      </w:r>
    </w:p>
    <w:p>
      <w:r>
        <w:t>局部无力萎缩、构音吞咽、呼吸、扩展过程及认知行为。症状可能并非全部出现，正式病历只记录本例实际表现。</w:t>
      </w:r>
    </w:p>
    <w:p>
      <w:pPr>
        <w:pStyle w:val="Heading3"/>
      </w:pPr>
      <w:r>
        <w:t>04 病史采集要点</w:t>
      </w:r>
    </w:p>
    <w:p>
      <w:r>
        <w:t>局部无力萎缩、构音吞咽、呼吸、扩展过程及认知行为。必须注明患者自述、家属旁证或既往记录的实际来源及时间。</w:t>
      </w:r>
    </w:p>
    <w:p>
      <w:pPr>
        <w:pStyle w:val="Heading3"/>
      </w:pPr>
      <w:r>
        <w:t>05 神经系统专科检查</w:t>
      </w:r>
    </w:p>
    <w:p>
      <w:r>
        <w:t>分布性萎缩、束颤、反射病理征和呼吸功能。未查项目不写阴性，量表只用真实评估。</w:t>
      </w:r>
    </w:p>
    <w:p>
      <w:pPr>
        <w:pStyle w:val="Heading3"/>
      </w:pPr>
      <w:r>
        <w:t>06 定位诊断</w:t>
      </w:r>
    </w:p>
    <w:p>
      <w:r>
        <w:t>运动系统多区域，不把单肌电图异常等同ALS。结论附支持证据与不吻合项。</w:t>
      </w:r>
    </w:p>
    <w:p>
      <w:pPr>
        <w:pStyle w:val="Heading3"/>
      </w:pPr>
      <w:r>
        <w:t>07 定性诊断</w:t>
      </w:r>
    </w:p>
    <w:p>
      <w:r>
        <w:t>运动神经元变性为可能病因之一，须排可治疗模拟病。结合起病、演变及多区域电生理、MRI排压迫、实验室与呼吸营养判断，保留确定度。</w:t>
      </w:r>
    </w:p>
    <w:p>
      <w:pPr>
        <w:pStyle w:val="Heading3"/>
      </w:pPr>
      <w:r>
        <w:t>08 重要辅助检查</w:t>
      </w:r>
    </w:p>
    <w:p>
      <w:r>
        <w:t>多区域电生理、MRI排压迫、实验室与呼吸营养。报告原文与临床推断按04分开。</w:t>
      </w:r>
    </w:p>
    <w:p>
      <w:pPr>
        <w:pStyle w:val="Heading3"/>
      </w:pPr>
      <w:r>
        <w:t>09 诊断标准</w:t>
      </w:r>
    </w:p>
    <w:p>
      <w:r>
        <w:t>按明确采用的ALS诊断标准综合判断并排模拟，早期保留确定度。诊断标准版本不清或关键证据未全时，仅写临床考虑并列待核实项。</w:t>
      </w:r>
    </w:p>
    <w:p>
      <w:pPr>
        <w:pStyle w:val="Heading3"/>
      </w:pPr>
      <w:r>
        <w:t>10 诊断依据</w:t>
      </w:r>
    </w:p>
    <w:p>
      <w:r>
        <w:t>将本例真实病程、分布性萎缩、束颤、反射病理征和呼吸功能及多区域电生理、MRI排压迫、实验室与呼吸营养逐项对应；不把疾病常见表现写成患者已具备。</w:t>
      </w:r>
    </w:p>
    <w:p>
      <w:pPr>
        <w:pStyle w:val="Heading3"/>
      </w:pPr>
      <w:r>
        <w:t>11 鉴别诊断</w:t>
      </w:r>
    </w:p>
    <w:p>
      <w:r>
        <w:t>颈髓病、MMN、MG、肌病及其他周围神经病。逐项写本例支持、反对及尚缺证据，而不是无依据全部排除。</w:t>
      </w:r>
    </w:p>
    <w:p>
      <w:pPr>
        <w:pStyle w:val="Heading3"/>
      </w:pPr>
      <w:r>
        <w:t>12 分型分级或危险分层</w:t>
      </w:r>
    </w:p>
    <w:p>
      <w:r>
        <w:t>分区域临床、电生理及真实功能评分和肺功能。</w:t>
      </w:r>
    </w:p>
    <w:p>
      <w:pPr>
        <w:pStyle w:val="Heading3"/>
      </w:pPr>
      <w:r>
        <w:t>13 临床严重程度评估</w:t>
      </w:r>
    </w:p>
    <w:p>
      <w:r>
        <w:t>分布性萎缩、束颤、反射病理征和呼吸功能；结合分区域临床、电生理及真实功能评分和肺功能及呼吸循环/生活功能，记录严重度依据与限制。</w:t>
      </w:r>
    </w:p>
    <w:p>
      <w:pPr>
        <w:pStyle w:val="Heading3"/>
      </w:pPr>
      <w:r>
        <w:t>14 治疗原则</w:t>
      </w:r>
    </w:p>
    <w:p>
      <w:r>
        <w:t>多学科功能、呼吸营养沟通和疾病特异治疗评估。医学原则、拟定计划、已执行及停用状态由07分别记录。</w:t>
      </w:r>
    </w:p>
    <w:p>
      <w:pPr>
        <w:pStyle w:val="Heading3"/>
      </w:pPr>
      <w:r>
        <w:t>15 特殊治疗适应性评估</w:t>
      </w:r>
    </w:p>
    <w:p>
      <w:r>
        <w:t>无创/有创支持及胃造瘘按患者状态和意愿真实决策。应同时核实禁忌证、替代方案和实际医师决定。</w:t>
      </w:r>
    </w:p>
    <w:p>
      <w:pPr>
        <w:pStyle w:val="Heading3"/>
      </w:pPr>
      <w:r>
        <w:t>16 重要治疗风险</w:t>
      </w:r>
    </w:p>
    <w:p>
      <w:r>
        <w:t>呼吸衰竭、误吸、体重下降及沟通困难。结合本例病情、器官功能和用药说明风险，不能因有风险便写已发生。</w:t>
      </w:r>
    </w:p>
    <w:p>
      <w:pPr>
        <w:pStyle w:val="Heading3"/>
      </w:pPr>
      <w:r>
        <w:t>17 可能发生的并发症</w:t>
      </w:r>
    </w:p>
    <w:p>
      <w:r>
        <w:t>呼吸衰竭、误吸、体重下降及沟通困难。若出现异常，记录发生时间、客观证据、鉴别、实际处置和复评，调用06。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现病史：【真实起病、演变与相关病史，重点核实局部无力萎缩、构音吞咽、呼吸、扩展过程及认知行为】</w:t>
      </w:r>
    </w:p>
    <w:p>
      <w:pPr>
        <w:pStyle w:val="ClinicalBody"/>
      </w:pPr>
      <w:r>
        <w:t>既往史与用药：【真实内容及状态】</w:t>
      </w:r>
    </w:p>
    <w:p>
      <w:pPr>
        <w:pStyle w:val="ClinicalBody"/>
      </w:pPr>
      <w:r>
        <w:t>神经系统检查：【本次实际分布性萎缩、束颤、反射病理征和呼吸功能】</w:t>
      </w:r>
    </w:p>
    <w:p>
      <w:pPr>
        <w:pStyle w:val="ClinicalBody"/>
      </w:pPr>
      <w:r>
        <w:t>辅助检查：【已完成的多区域电生理、MRI排压迫、实验室与呼吸营养及日期】</w:t>
      </w:r>
    </w:p>
    <w:p>
      <w:pPr>
        <w:pStyle w:val="ClinicalBody"/>
      </w:pPr>
      <w:r>
        <w:t>初步诊断：【运动神经元病相关综合征的诊断名称及确定度】，依据【真实支持资料】，尚需鉴别【本例实际备选】。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运动系统多区域，不把单肌电图异常等同ALS说明】。定性及诊断依据：【对照按明确采用的ALS诊断标准综合判断并排模拟，早期保留确定度列出本例满足项及证据缺口】。鉴别诊断：【针对颈髓病、MMN、MG、肌病及其他周围神经病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分布性萎缩、束颤、反射病理征和呼吸功能】。辅助检查【实际新结果及多区域电生理、MRI排压迫、实验室与呼吸营养中相关变化】。目前【运动神经元病相关综合征的诊断确定度及当前问题】，已实施【真实治疗与反应】，后续拟【实际计划】，重点观察【本例风险和呼吸、吞咽营养、沟通及照护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分布性萎缩、束颤、反射病理征和呼吸功能实测结果】，检查【实际结果】。主治医师分析：【结合本例运动神经元病相关综合征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运动系统多区域，不把单肌电图异常等同ALS与本例证据的吻合程度，分析运动神经元变性为可能病因之一，须排可治疗模拟病的证据充分度；结合分区域临床、电生理及真实功能评分和肺功能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运动神经元病相关综合征及竞争诊断，结合本例无创/有创支持及胃造瘘按患者状态和意愿真实决策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分布性萎缩、束颤、反射病理征和呼吸功能中可评项目】。需重点鉴别【颈髓病、MMN、MG、肌病及其他周围神经病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分布性萎缩、束颤、反射病理征和呼吸功能的客观变化】，辅助检查【真实结果】。与【明确基线】相比【有证据疗效或尚不能评价】，不良反应及并发症【实际已查内容】，后续【医师确定监测及呼吸、吞咽营养、沟通及照护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诊疗经过：【运动神经元病相关综合征证据、诊断修正、真实治疗及疗效】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出院医嘱：【已审核药物、呼吸、吞咽营养、沟通及照护中适用复查及具体警戒症状】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呼吸、吞咽营养、沟通及照护中已决定项目】。若出现【本例需警戒的新缺损、意识、呼吸、发作或出血症状】，及时就诊。</w:t>
      </w:r>
    </w:p>
    <w:p>
      <w:pPr>
        <w:pStyle w:val="CodeFence"/>
      </w:pPr>
      <w:r>
        <w:t>```</w:t>
      </w:r>
    </w:p>
    <w:p>
      <w:pPr>
        <w:pStyle w:val="Heading3"/>
      </w:pPr>
      <w:r>
        <w:t>28 关键质控要点</w:t>
      </w:r>
    </w:p>
    <w:p>
      <w:r>
        <w:t>按明确采用的ALS诊断标准综合判断并排模拟，早期保留确定度；无创/有创支持及胃造瘘按患者状态和意愿真实决策。侧别、时点、证据、确定度、计划执行及当次查体须一致；呼吸衰竭、误吸、体重下降及沟通困难只能在有事实时作为并发症诊断。</w:t>
      </w:r>
    </w:p>
    <w:p>
      <w:pPr>
        <w:pStyle w:val="Heading3"/>
      </w:pPr>
      <w:r>
        <w:t>29 指南与循证医学来源</w:t>
      </w:r>
    </w:p>
    <w:p>
      <w:r>
        <w:t>本章依据本模块来源 R15、R16、R25、R31 的适用部分组织。具体采用版本、条目与证据等级须写入本例决策；未核验标准不作为自动治疗门槛。来源的已核验范围和限制见文末，不将每一条综述性书写提示伪装成指南推荐。</w:t>
      </w:r>
    </w:p>
    <w:p>
      <w:pPr>
        <w:pStyle w:val="Heading1"/>
      </w:pPr>
      <w:r>
        <w:t>典型模拟病例</w:t>
      </w:r>
    </w:p>
    <w:p>
      <w:r>
        <w:t>虚构输入：N106，72岁PD，主治实际意见核对服药时点，上午服药后活动改善；未完成量表。</w:t>
      </w:r>
    </w:p>
    <w:p>
      <w:r>
        <w:t>2026年10月25日 09:00 模拟主治医师查房记录</w:t>
      </w:r>
    </w:p>
    <w:p>
      <w:pPr>
        <w:pStyle w:val="CodeFence"/>
      </w:pPr>
      <w:r>
        <w:t>```text</w:t>
      </w:r>
    </w:p>
    <w:p>
      <w:pPr>
        <w:pStyle w:val="ClinicalBody"/>
      </w:pPr>
      <w:r>
        <w:t>今日随模拟主治医师查房，患者上午服药后活动较前改善。主治医师分析：需核对院前及住院的实际服药时间，结合开关期、步态和不良反应评估疗效，避免无故中断原治疗。现无完整运动量表评估，不能据主诉改善推定分期或量表下降。</w:t>
      </w:r>
    </w:p>
    <w:p>
      <w:pPr>
        <w:pStyle w:val="CodeFence"/>
      </w:pPr>
      <w:r>
        <w:t>```</w:t>
      </w:r>
    </w:p>
    <w:p>
      <w:pPr>
        <w:pStyle w:val="Heading1"/>
      </w:pPr>
      <w:r>
        <w:t>禁止事项与常见错误</w:t>
      </w:r>
    </w:p>
    <w:p>
      <w:r>
        <w:t>禁止复制模拟病例数据；禁止补全未查神经体征、量表、影像、器械、治疗时间、抗栓执行、会诊意见和签名。常见错误包括将未记录当作阴性、将拟行写成已完成、将较早查体当作今日查体、把报告推断写入报告原文。</w:t>
      </w:r>
    </w:p>
    <w:p>
      <w:pPr>
        <w:pStyle w:val="Heading1"/>
      </w:pPr>
      <w:r>
        <w:t>质量控制与模块协同</w:t>
      </w:r>
    </w:p>
    <w:p>
      <w:r>
        <w:t>01负责最高真实性与格式约束，11负责患者隔离、事件状态和最小路由，02负责文书骨架，03负责定位及量表，04负责报告证据，05负责围介入结构，06负责危重事件，07负责治疗状态，08负责三级查房，09负责功能与随访；101—108仅加载相关专病，最终统一经10审核。</w:t>
      </w:r>
    </w:p>
    <w:p>
      <w:r>
        <w:t>逐项确认：身份及本次住院正确；所有事实有来源与时间；左右侧及血管节段一致；计划与执行分离；评分不推测；疗效与并发症有证据；文书正文无占位符；日期标题与正文分离。重要冲突未解除时输出核对清单，不生成误导性的确定结论。</w:t>
      </w:r>
    </w:p>
    <w:p>
      <w:pPr>
        <w:pStyle w:val="Heading1"/>
      </w:pPr>
      <w:r>
        <w:t>指南与资料来源</w:t>
      </w:r>
    </w:p>
    <w:p>
      <w:r>
        <w:t>核验基准日为2026年10月25日。以下“已核验”仅指所写明的范围；检索未见更新不等于不存在更新。国际指南需结合中国规范、获批适应证、院内流程及医师判断。无具体推荐原文及等级依据时，标记“具体条目与证据等级待核验”，不得自行补成Ⅰ类或A级。</w:t>
      </w:r>
    </w:p>
    <w:p>
      <w:r>
        <w:t>[R01] 病历书写基本规范。卫生部，2010，卫医政发〔2010〕11号。官方发布题录与规范要求已核验。</w:t>
      </w:r>
    </w:p>
    <w:p>
      <w:r>
        <w:t>https://www.nhc.gov.cn/wjw/c100175/201002/b1bec53d90f243e0861529723f00221a.shtml</w:t>
      </w:r>
    </w:p>
    <w:p>
      <w:r>
        <w:t>[R02] 医疗质量安全核心制度要点。国家卫生健康委员会，2018。官方发布及核心要求已核验。</w:t>
      </w:r>
    </w:p>
    <w:p>
      <w:r>
        <w:t>https://www.nhc.gov.cn/yzygj/c100068/201804/42ab2552298047679cd6ec733f233862.shtml</w:t>
      </w:r>
    </w:p>
    <w:p>
      <w:r>
        <w:t>[R15] Parkinson disease in adults NG71。NICE，2017，引用官网现行页面。官方建议页已核验；不据此虚构国内药品适应证。</w:t>
      </w:r>
    </w:p>
    <w:p>
      <w:r>
        <w:t>https://www.nice.org.uk/guidance/ng71/chapter/Recommendations</w:t>
      </w:r>
    </w:p>
    <w:p>
      <w:r>
        <w:t>[R16] Dementia assessment management and support NG97。NICE，2018，引用官网现行页面。官方诊断与功能评估章节已核验。</w:t>
      </w:r>
    </w:p>
    <w:p>
      <w:r>
        <w:t>https://www.nice.org.uk/guidance/ng97/chapter/Recommendations</w:t>
      </w:r>
    </w:p>
    <w:p>
      <w:r>
        <w:t>[R25] MoCA official use and interpretation requirements。MoCA Cognition官方说明。培训认证及临床解释限制已核验；不复制受保护题本。</w:t>
      </w:r>
    </w:p>
    <w:p>
      <w:r>
        <w:t>https://mocacognition.com/disclaimer/</w:t>
      </w:r>
    </w:p>
    <w:p>
      <w:r>
        <w:t>[R31] 中华神经科杂志指南集锦。中华神经科杂志官方专题。用于国内专病更新检索；具体MS、CIDP、MOGAD及其他诊断标准全文须按院内采用版本补证。</w:t>
      </w:r>
    </w:p>
    <w:p>
      <w:r>
        <w:t>https://www.ecjn.org.cn/topic/14_1.jspx</w:t>
      </w:r>
    </w:p>
    <w:p>
      <w:pPr>
        <w:pStyle w:val="Heading1"/>
      </w:pPr>
      <w:r>
        <w:t>更新与维护说明</w:t>
      </w:r>
    </w:p>
    <w:p>
      <w:r>
        <w:t>版本责任由科室指定的临床负责人、介入负责人和病案质控人员共同承担。至少每季度核验来源，指南、药品说明书或院内制度更新时立即复审相关阈值、禁忌证、术式授权和模板；记录旧版、变更理由、来源、审校人及生效日期。所有更新须重跑10模块30项模拟验收；修正原规则及全部受影响交叉引用后再发布。</w:t>
      </w:r>
    </w:p>
    <w:p>
      <w:r>
        <w:t>本交付物是Word规则与模板库。自动路由、状态管理及质控以文字协议供AI执行；未部署数据库、电子病历接口或后台调度器。新会话须显式提供当前患者状态及所需模块，不能声称已读取未提供的Word文件。</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106  神经内科病历书写系统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Songti SC" w:hAnsi="Songti SC"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ongti SC" w:hAnsi="Songti SC" w:eastAsia="Songti S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ongti SC" w:hAnsi="Songti SC" w:eastAsia="Songti S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Songti SC" w:hAnsi="Songti SC" w:eastAsia="Songti SC"/>
      <w:b/>
      <w:bCs/>
      <w:color w:val="203C55"/>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Songti SC" w:hAnsi="Songti SC" w:eastAsia="Songti SC"/>
      <w:b/>
      <w:bCs/>
      <w:color w:val="203C55"/>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Songti SC" w:hAnsi="Songti SC" w:eastAsia="Songti SC"/>
      <w:b/>
      <w:bCs/>
      <w:color w:val="203C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ngti SC" w:hAnsi="Songti SC"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ngti SC" w:hAnsi="Songti SC"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ongti SC" w:hAnsi="Songti SC"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ongti SC" w:hAnsi="Songti SC"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ongti SC" w:hAnsi="Songti SC"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ongti SC" w:hAnsi="Songti SC" w:eastAsia="Songti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Songti SC" w:hAnsi="Songti SC" w:eastAsia="Songti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ngti SC" w:hAnsi="Songti SC"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ongti SC" w:hAnsi="Songti SC" w:eastAsia="Songti SC"/>
    </w:rPr>
  </w:style>
  <w:style w:type="paragraph" w:styleId="BodyText">
    <w:name w:val="Body Text"/>
    <w:basedOn w:val="Normal"/>
    <w:link w:val="BodyTextChar"/>
    <w:uiPriority w:val="99"/>
    <w:unhideWhenUsed/>
    <w:rsid w:val="00AA1D8D"/>
    <w:pPr>
      <w:spacing w:after="120" w:line="283" w:lineRule="auto"/>
    </w:pPr>
    <w:rPr>
      <w:rFonts w:ascii="Songti SC" w:hAnsi="Songti SC" w:eastAsia="Songti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ongti SC" w:hAnsi="Songti SC" w:eastAsia="Songti S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ongti SC" w:hAnsi="Songti SC" w:eastAsia="Songti S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ongti SC" w:hAnsi="Songti SC" w:eastAsia="Songti SC"/>
    </w:rPr>
  </w:style>
  <w:style w:type="paragraph" w:styleId="List2">
    <w:name w:val="List 2"/>
    <w:basedOn w:val="Normal"/>
    <w:uiPriority w:val="99"/>
    <w:unhideWhenUsed/>
    <w:rsid w:val="00326F90"/>
    <w:pPr>
      <w:ind w:left="720" w:hanging="360"/>
      <w:contextualSpacing/>
    </w:pPr>
    <w:rPr>
      <w:rFonts w:ascii="Songti SC" w:hAnsi="Songti SC" w:eastAsia="Songti SC"/>
    </w:rPr>
  </w:style>
  <w:style w:type="paragraph" w:styleId="List3">
    <w:name w:val="List 3"/>
    <w:basedOn w:val="Normal"/>
    <w:uiPriority w:val="99"/>
    <w:unhideWhenUsed/>
    <w:rsid w:val="00326F90"/>
    <w:pPr>
      <w:ind w:left="1080" w:hanging="360"/>
      <w:contextualSpacing/>
    </w:pPr>
    <w:rPr>
      <w:rFonts w:ascii="Songti SC" w:hAnsi="Songti SC" w:eastAsia="Songti SC"/>
    </w:rPr>
  </w:style>
  <w:style w:type="paragraph" w:styleId="ListBullet">
    <w:name w:val="List Bullet"/>
    <w:basedOn w:val="Normal"/>
    <w:uiPriority w:val="99"/>
    <w:unhideWhenUsed/>
    <w:rsid w:val="00326F90"/>
    <w:pPr>
      <w:numPr>
        <w:numId w:val="1"/>
      </w:numPr>
      <w:spacing w:line="283" w:lineRule="auto" w:after="120"/>
      <w:contextualSpacing/>
    </w:pPr>
    <w:rPr>
      <w:rFonts w:ascii="Songti SC" w:hAnsi="Songti SC" w:eastAsia="Songti SC"/>
      <w:sz w:val="22"/>
    </w:rPr>
  </w:style>
  <w:style w:type="paragraph" w:styleId="ListBullet2">
    <w:name w:val="List Bullet 2"/>
    <w:basedOn w:val="Normal"/>
    <w:uiPriority w:val="99"/>
    <w:unhideWhenUsed/>
    <w:rsid w:val="00326F90"/>
    <w:pPr>
      <w:numPr>
        <w:numId w:val="2"/>
      </w:numPr>
      <w:contextualSpacing/>
    </w:pPr>
    <w:rPr>
      <w:rFonts w:ascii="Songti SC" w:hAnsi="Songti SC" w:eastAsia="Songti SC"/>
    </w:rPr>
  </w:style>
  <w:style w:type="paragraph" w:styleId="ListBullet3">
    <w:name w:val="List Bullet 3"/>
    <w:basedOn w:val="Normal"/>
    <w:uiPriority w:val="99"/>
    <w:unhideWhenUsed/>
    <w:rsid w:val="00326F90"/>
    <w:pPr>
      <w:numPr>
        <w:numId w:val="3"/>
      </w:numPr>
      <w:contextualSpacing/>
    </w:pPr>
    <w:rPr>
      <w:rFonts w:ascii="Songti SC" w:hAnsi="Songti SC" w:eastAsia="Songti SC"/>
    </w:rPr>
  </w:style>
  <w:style w:type="paragraph" w:styleId="ListNumber">
    <w:name w:val="List Number"/>
    <w:basedOn w:val="Normal"/>
    <w:uiPriority w:val="99"/>
    <w:unhideWhenUsed/>
    <w:rsid w:val="00326F90"/>
    <w:pPr>
      <w:numPr>
        <w:numId w:val="5"/>
      </w:numPr>
      <w:contextualSpacing/>
    </w:pPr>
    <w:rPr>
      <w:rFonts w:ascii="Songti SC" w:hAnsi="Songti SC" w:eastAsia="Songti SC"/>
    </w:rPr>
  </w:style>
  <w:style w:type="paragraph" w:styleId="ListNumber2">
    <w:name w:val="List Number 2"/>
    <w:basedOn w:val="Normal"/>
    <w:uiPriority w:val="99"/>
    <w:unhideWhenUsed/>
    <w:rsid w:val="0029639D"/>
    <w:pPr>
      <w:numPr>
        <w:numId w:val="6"/>
      </w:numPr>
      <w:contextualSpacing/>
    </w:pPr>
    <w:rPr>
      <w:rFonts w:ascii="Songti SC" w:hAnsi="Songti SC" w:eastAsia="Songti SC"/>
    </w:rPr>
  </w:style>
  <w:style w:type="paragraph" w:styleId="ListNumber3">
    <w:name w:val="List Number 3"/>
    <w:basedOn w:val="Normal"/>
    <w:uiPriority w:val="99"/>
    <w:unhideWhenUsed/>
    <w:rsid w:val="0029639D"/>
    <w:pPr>
      <w:numPr>
        <w:numId w:val="7"/>
      </w:numPr>
      <w:contextualSpacing/>
    </w:pPr>
    <w:rPr>
      <w:rFonts w:ascii="Songti SC" w:hAnsi="Songti SC" w:eastAsia="Songti SC"/>
    </w:rPr>
  </w:style>
  <w:style w:type="paragraph" w:styleId="ListContinue">
    <w:name w:val="List Continue"/>
    <w:basedOn w:val="Normal"/>
    <w:uiPriority w:val="99"/>
    <w:unhideWhenUsed/>
    <w:rsid w:val="0029639D"/>
    <w:pPr>
      <w:spacing w:after="120"/>
      <w:ind w:left="360"/>
      <w:contextualSpacing/>
    </w:pPr>
    <w:rPr>
      <w:rFonts w:ascii="Songti SC" w:hAnsi="Songti SC" w:eastAsia="Songti SC"/>
    </w:rPr>
  </w:style>
  <w:style w:type="paragraph" w:styleId="ListContinue2">
    <w:name w:val="List Continue 2"/>
    <w:basedOn w:val="Normal"/>
    <w:uiPriority w:val="99"/>
    <w:unhideWhenUsed/>
    <w:rsid w:val="0029639D"/>
    <w:pPr>
      <w:spacing w:after="120"/>
      <w:ind w:left="720"/>
      <w:contextualSpacing/>
    </w:pPr>
    <w:rPr>
      <w:rFonts w:ascii="Songti SC" w:hAnsi="Songti SC" w:eastAsia="Songti SC"/>
    </w:rPr>
  </w:style>
  <w:style w:type="paragraph" w:styleId="ListContinue3">
    <w:name w:val="List Continue 3"/>
    <w:basedOn w:val="Normal"/>
    <w:uiPriority w:val="99"/>
    <w:unhideWhenUsed/>
    <w:rsid w:val="0029639D"/>
    <w:pPr>
      <w:spacing w:after="120"/>
      <w:ind w:left="1080"/>
      <w:contextualSpacing/>
    </w:pPr>
    <w:rPr>
      <w:rFonts w:ascii="Songti SC" w:hAnsi="Songti SC" w:eastAsia="Songti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ngti SC" w:hAnsi="Songti SC" w:eastAsia="Songti S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ongti SC" w:hAnsi="Songti SC" w:eastAsia="Songti S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ongti SC" w:hAnsi="Songti SC" w:eastAsia="Songti SC"/>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ongti SC" w:hAnsi="Songti SC" w:eastAsia="Songti S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inicalBody">
    <w:name w:val="Clinical Body"/>
    <w:basedOn w:val="Normal"/>
    <w:pPr>
      <w:spacing w:after="60" w:before="0"/>
    </w:pPr>
    <w:rPr>
      <w:rFonts w:ascii="Songti SC" w:hAnsi="Songti SC" w:eastAsia="Songti SC"/>
    </w:rPr>
  </w:style>
  <w:style w:type="paragraph" w:customStyle="1" w:styleId="CodeFence">
    <w:name w:val="Code Fence"/>
    <w:basedOn w:val="Normal"/>
    <w:pPr>
      <w:spacing w:after="60" w:before="0"/>
    </w:pPr>
    <w:rPr>
      <w:rFonts w:ascii="Songti SC" w:hAnsi="Songti SC" w:eastAsia="Songti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106 帕金森病认知障碍与神经变性疾病专病模板库</dc:title>
  <dc:subject>神经内科与神经介入医学文书规则及模板</dc:subject>
  <dc:creator>病历模板库</dc:creator>
  <cp:keywords>规则库 医师审核 真实病例资料 神经内科 神经介入</cp:keywords>
  <dc:description>generated by python-docx</dc:description>
  <cp:lastModifiedBy/>
  <cp:revision>1</cp:revision>
  <dcterms:created xsi:type="dcterms:W3CDTF">2013-12-23T23:15:00Z</dcterms:created>
  <dcterms:modified xsi:type="dcterms:W3CDTF">2013-12-23T23:15:00Z</dcterms:modified>
  <cp:category/>
</cp:coreProperties>
</file>