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神经内科AI自动调用路由与病例状态管理规则库</w:t>
      </w:r>
    </w:p>
    <w:p>
      <w:r>
        <w:t>版本 V1.0  |  建立与核验日期 2026年10月25日  |  第二级模块</w:t>
      </w:r>
    </w:p>
    <w:p>
      <w:r>
        <w:t>自动调度与病例状态管理协议，先隔离病例再按最少模块组合生成文书。 本模块提供医师审核前的书写规则与模板；不得替代诊疗授权、真实执行记录、知情沟通或医疗签名。</w:t>
      </w:r>
    </w:p>
    <w:p>
      <w:pPr>
        <w:pStyle w:val="Heading1"/>
      </w:pPr>
      <w:r>
        <w:t>一 模块定位与调用</w:t>
      </w:r>
    </w:p>
    <w:p>
      <w:r>
        <w:t>功能定位：自动调度与病例状态管理协议，先隔离病例再按最少模块组合生成文书。</w:t>
      </w:r>
    </w:p>
    <w:p>
      <w:r>
        <w:t>核心任务：将可追溯的真实资料转化为符合本模块场景的医学分析与文书，并识别影响安全和真实性的缺口。</w:t>
      </w:r>
    </w:p>
    <w:p>
      <w:r>
        <w:t>适用范围：单患者多住院、多病种、多次介入；文件库由使用AI按协议执行，非已部署后台。</w:t>
      </w:r>
    </w:p>
    <w:p>
      <w:r>
        <w:t>自动调用条件：每次新资料、新任务、纠正、跨日、出院和新介入事件输入时。</w:t>
      </w:r>
    </w:p>
    <w:p>
      <w:pPr>
        <w:pStyle w:val="Heading1"/>
      </w:pPr>
      <w:r>
        <w:t>二 医学书写与分析原则</w:t>
      </w:r>
    </w:p>
    <w:p>
      <w:r>
        <w:t>每条患者事实绑定patient_id、encounter_id、event_time、recorded_at、source_id、author、verification及状态。知识提示、医师计划、实际执行、停用或取消分别储存；未知不等于阴性，未记录不等于未发生。模板和模拟病例中的内容不能继承为患者事实。</w:t>
      </w:r>
    </w:p>
    <w:p>
      <w:r>
        <w:t>先确认身份与就诊，再描述时间进展、神经功能、定位、定性和诊断确定度；诊疗意见只能归属于有实际记录的医师。医学常识不能替代诊断所缺的证据。</w:t>
      </w:r>
    </w:p>
    <w:p>
      <w:r>
        <w:t>所有医学文书按“代码框外的日期时间及标题＋独立Markdown代码框内的正文”输出。框内不重复文书日期或标题，不放“医学文书正文”标签、AI解释或前言。日常病程、术后病程和三级医师查房必须是连续一整段，无空行、无分条、无多余空格；入院、出院、讨论和抢救等固定栏目文书保留必要结构。正文中的既往事件时间仅在临床必需时表达，不得把本次文书日期再作为题头写入框内。未核实内容在框外提示，最终正文不得含【占位符】。</w:t>
      </w:r>
    </w:p>
    <w:p>
      <w:r>
        <w:t>本库“结构模板”中的【字段】是建库变量；使用时必须由核实资料替换。若非必需项缺失可删除对应句，必需项缺失则在代码框外提出具体核对项；不得把模板直接当作已完成病历。模拟病例均为虚构，仅用于规则演示，不构成临床医嘱。</w:t>
      </w:r>
    </w:p>
    <w:p>
      <w:pPr>
        <w:pStyle w:val="Heading1"/>
      </w:pPr>
      <w:r>
        <w:t>三 自动识别二十五项</w:t>
      </w:r>
    </w:p>
    <w:p>
      <w:r>
        <w:t>01 当前患者：均保留值、状态及来源；不能识别则标未知，不能沿用上一患者默认值。</w:t>
      </w:r>
    </w:p>
    <w:p>
      <w:r>
        <w:t>02 新病例：均保留值、状态及来源；不能识别则标未知，不能沿用上一患者默认值。</w:t>
      </w:r>
    </w:p>
    <w:p>
      <w:r>
        <w:t>03 当前住院次数及encounter_id：均保留值、状态及来源；不能识别则标未知，不能沿用上一患者默认值。</w:t>
      </w:r>
    </w:p>
    <w:p>
      <w:r>
        <w:t>04 当前疾病及联合病种：均保留值、状态及来源；不能识别则标未知，不能沿用上一患者默认值。</w:t>
      </w:r>
    </w:p>
    <w:p>
      <w:r>
        <w:t>05 文书类型：均保留值、状态及来源；不能识别则标未知，不能沿用上一患者默认值。</w:t>
      </w:r>
    </w:p>
    <w:p>
      <w:r>
        <w:t>06 当前神经功能及评估时间：均保留值、状态及来源；不能识别则标未知，不能沿用上一患者默认值。</w:t>
      </w:r>
    </w:p>
    <w:p>
      <w:r>
        <w:t>07 诊断确定度：均保留值、状态及来源；不能识别则标未知，不能沿用上一患者默认值。</w:t>
      </w:r>
    </w:p>
    <w:p>
      <w:r>
        <w:t>08 急性卒中：均保留值、状态及来源；不能识别则标未知，不能沿用上一患者默认值。</w:t>
      </w:r>
    </w:p>
    <w:p>
      <w:r>
        <w:t>09 静脉溶栓状态：均保留值、状态及来源；不能识别则标未知，不能沿用上一患者默认值。</w:t>
      </w:r>
    </w:p>
    <w:p>
      <w:r>
        <w:t>10 拟介入：均保留值、状态及来源；不能识别则标未知，不能沿用上一患者默认值。</w:t>
      </w:r>
    </w:p>
    <w:p>
      <w:r>
        <w:t>11 已完成介入：均保留值、状态及来源；不能识别则标未知，不能沿用上一患者默认值。</w:t>
      </w:r>
    </w:p>
    <w:p>
      <w:r>
        <w:t>12 当前术后阶段：均保留值、状态及来源；不能识别则标未知，不能沿用上一患者默认值。</w:t>
      </w:r>
    </w:p>
    <w:p>
      <w:r>
        <w:t>13 实际术中并发症：均保留值、状态及来源；不能识别则标未知，不能沿用上一患者默认值。</w:t>
      </w:r>
    </w:p>
    <w:p>
      <w:r>
        <w:t>14 血管及灌注结果：均保留值、状态及来源；不能识别则标未知，不能沿用上一患者默认值。</w:t>
      </w:r>
    </w:p>
    <w:p>
      <w:r>
        <w:t>15 新增CT/MRI：均保留值、状态及来源；不能识别则标未知，不能沿用上一患者默认值。</w:t>
      </w:r>
    </w:p>
    <w:p>
      <w:r>
        <w:t>16 新增DSA：均保留值、状态及来源；不能识别则标未知，不能沿用上一患者默认值。</w:t>
      </w:r>
    </w:p>
    <w:p>
      <w:r>
        <w:t>17 神经功能变化：均保留值、状态及来源；不能识别则标未知，不能沿用上一患者默认值。</w:t>
      </w:r>
    </w:p>
    <w:p>
      <w:r>
        <w:t>18 抗栓调整：均保留值、状态及来源；不能识别则标未知，不能沿用上一患者默认值。</w:t>
      </w:r>
    </w:p>
    <w:p>
      <w:r>
        <w:t>19 上级查房：均保留值、状态及来源；不能识别则标未知，不能沿用上一患者默认值。</w:t>
      </w:r>
    </w:p>
    <w:p>
      <w:r>
        <w:t>20 抢救需求：均保留值、状态及来源；不能识别则标未知，不能沿用上一患者默认值。</w:t>
      </w:r>
    </w:p>
    <w:p>
      <w:r>
        <w:t>21 出院准备：均保留值、状态及来源；不能识别则标未知，不能沿用上一患者默认值。</w:t>
      </w:r>
    </w:p>
    <w:p>
      <w:r>
        <w:t>22 用户纠正：均保留值、状态及来源；不能识别则标未知，不能沿用上一患者默认值。</w:t>
      </w:r>
    </w:p>
    <w:p>
      <w:r>
        <w:t>23 另一位患者：均保留值、状态及来源；不能识别则标未知，不能沿用上一患者默认值。</w:t>
      </w:r>
    </w:p>
    <w:p>
      <w:r>
        <w:t>24 多次介入：均保留值、状态及来源；不能识别则标未知，不能沿用上一患者默认值。</w:t>
      </w:r>
    </w:p>
    <w:p>
      <w:r>
        <w:t>25 联合专病：均保留值、状态及来源；不能识别则标未知，不能沿用上一患者默认值。</w:t>
      </w:r>
    </w:p>
    <w:p>
      <w:pPr>
        <w:pStyle w:val="Heading1"/>
      </w:pPr>
      <w:r>
        <w:t>四 身份隔离及来源模型</w:t>
      </w:r>
    </w:p>
    <w:p>
      <w:r>
        <w:t>主键为patient_id＋encounter_id；每次手术为procedure_id，每次检查为study_id，每次给药为administration_id。床号、姓名或日期均不能独立作唯一主键。跨患者附件先放入隔离区，不参与病因、靶血管、侧别或治疗结论。若同患者不同住院资料可作历史，但明确historical，不得写成本次已执行。</w:t>
      </w:r>
    </w:p>
    <w:p>
      <w:r>
        <w:t>事实字段结构：value、status、patient_id、encounter_id、procedure_id（适用时）、event_time、recorded_at、source_id、source_type、author、verification、supersedes。更正新增修订，保存原始值及被替代关系；新来源不自动覆盖不同事件事实。</w:t>
      </w:r>
    </w:p>
    <w:p>
      <w:pPr>
        <w:pStyle w:val="Heading1"/>
      </w:pPr>
      <w:r>
        <w:t>五 字段状态与介入病例状态表</w:t>
      </w:r>
    </w:p>
    <w:p>
      <w:r>
        <w:t>所有字段使用统一包装：状态至少能表达未知、待核实、尚未实施、已实施和已取消；同时可标拟定、已开立、已开始、已停、不适用、未查和真实阴性。状态值与医学值分开，禁止用0表示未知或用空白表示阴性。unknown 未知；pending_verification 待核实；not_performed 尚未实施；performed 已实施；cancelled 已取消；planned 拟定；ordered 已开立；started 已开始；stopped 已停用；not_applicable 不适用；not_examined 未检查；negative 已核实阴性。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5184"/>
      </w:tblGrid>
      <w:tr>
        <w:trPr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字段键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中文含义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/>
                <w:sz w:val="20"/>
              </w:rPr>
              <w:t>数据与核验要点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pre_diagnosis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介入前诊断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target_lesion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拟治疗病变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vessel_segment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具体血管及节段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laterality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左右侧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imaging_evidence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影像证据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lesion_severity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病变严重程度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prior_antithrombotics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既往抗栓用药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decision_time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治疗决策时间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consent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知情同意状态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pre_neuro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介入前神经功能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procedure_name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介入手术名称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procedure_time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手术日期及时间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anesthesia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麻醉方式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access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穿刺血管及入路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devices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使用的实际器械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使用统一字段包装；值为原始可追溯资料，含事件时间和来源。逐件型号规格数量、实际使用/回收/留置分开。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actions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实施的具体操作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angiography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造影所见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end_vessel_state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结束时血管状态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reperfusion_grade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再灌注分级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使用统一字段包装；值为原始可追溯资料，含事件时间和来源。分体系、分级、时点和术者，不能推定。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intra_complications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实际术中并发症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post_neuro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术后神经功能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post_imaging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术后影像结果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post_meds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术后用药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access_site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穿刺点情况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repeat_intervention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是否需要再次介入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  <w:tr>
        <w:trPr/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discharge_followup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出院及随访计划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使用统一字段包装；值为原始可追溯资料，含事件时间和来源。未知或计划状态不得转为已实施。</w:t>
            </w:r>
          </w:p>
        </w:tc>
      </w:tr>
    </w:tbl>
    <w:p>
      <w:pPr>
        <w:pStyle w:val="Heading1"/>
      </w:pPr>
      <w:r>
        <w:t>六 介入状态转换与术后日算法</w:t>
      </w:r>
    </w:p>
    <w:p>
      <w:r>
        <w:t>允许路径：unknown→pending_verification→planned→prepared→started→completed；planned/prepared可转cancelled；completed后可进入post_observation→reviewed→discharged→followup。只有真实操作记录支持started/completed；知情同意不触发completed；新一次操作重新建立procedure_id，不能在旧事件上覆盖。</w:t>
      </w:r>
    </w:p>
    <w:p>
      <w:r>
        <w:t>术后日=文书日期（Asia/Shanghai当地日期）－经核实的手术登记日期；同日第0日、次日第1日。若为跨午夜或手术登记日期与穿刺日期不一致，先核对院内记录口径；需要时仅写距结束小时。日期缺失、相反或本次操作未完成时不计算术后日。既往手术与本次分别显示，不能取最近日期盲算。</w:t>
      </w:r>
    </w:p>
    <w:p>
      <w:r>
        <w:t>急诊指标按定义计算：发病/最后正常、症状发现、到院、影像完成、溶栓、穿刺、首次再通、最终再灌注及结束分别存。两个端点真实且同事件、同定义后才能算DNT、DPT等；转院区分首诊与本院到院。</w:t>
      </w:r>
    </w:p>
    <w:p>
      <w:pPr>
        <w:pStyle w:val="Heading1"/>
      </w:pPr>
      <w:r>
        <w:t>七 最小路由与事件触发</w:t>
      </w:r>
    </w:p>
    <w:p>
      <w:r>
        <w:t>脑梗死首次病程：01＋11＋02＋03＋101＋10。有检查分析时加04，有治疗评估时加07。</w:t>
      </w:r>
    </w:p>
    <w:p>
      <w:r>
        <w:t>TIA主任查房：01＋11＋02＋03＋08＋101＋10。症状消失不能直接判定低危。</w:t>
      </w:r>
    </w:p>
    <w:p>
      <w:r>
        <w:t>脑梗死拟取栓主任查房：01＋11＋02＋05＋08＋101＋104＋10。需定位或阅片时加03/04，决策与实际执行分开。</w:t>
      </w:r>
    </w:p>
    <w:p>
      <w:r>
        <w:t>取栓术后首次病程：01＋11＋02＋05＋04＋101＋104＋10。治疗状态或并发症加07/06。</w:t>
      </w:r>
    </w:p>
    <w:p>
      <w:r>
        <w:t>DSA报告分析：01＋11＋04＋103或104＋10。仅整理原文不补造操作记录。</w:t>
      </w:r>
    </w:p>
    <w:p>
      <w:r>
        <w:t>脑出血意识恶化抢救：01＋11＋03＋06＋102＋10。检查与治疗证据加04/07。</w:t>
      </w:r>
    </w:p>
    <w:p>
      <w:r>
        <w:t>癫痫持续状态主任查房：01＋11＋06＋08＋105＋10。需要完整骨架时补02，脑电结果加04。</w:t>
      </w:r>
    </w:p>
    <w:p>
      <w:r>
        <w:t>帕金森病或认知障碍住院：01＋11＋02＋03＋106＋10。功能随访加09，药物调整加07。</w:t>
      </w:r>
    </w:p>
    <w:p>
      <w:r>
        <w:t>重症肌无力日常病程：01＋11＋02＋03＋107＋10。呼吸或延髓风险加06，药物状态加07。</w:t>
      </w:r>
    </w:p>
    <w:p>
      <w:r>
        <w:t>感染性脑膜炎首次病程：01＋11＋02＋03＋04＋108＋10。感染治疗加07，意识及呼吸恶化加06。</w:t>
      </w:r>
    </w:p>
    <w:p>
      <w:r>
        <w:t>介入术后出院：01＋11＋02＋05＋07＋09＋104＋相关病种＋10。汇总每次介入和最终用药、诊断、随访。</w:t>
      </w:r>
    </w:p>
    <w:p>
      <w:r>
        <w:t>一般初始集合01、11、02；涉及实查/定位加03，报告整理/分析加04，介入加05与104，危重加06，药物与方案加07，上级查房加08，康复出院加09，按实际病种加101—108，最后10。仅输出评分不一定需要02；只分析报告时不强加文书骨架。集合去重、保持01→11→功能→专病→10顺序。</w:t>
      </w:r>
    </w:p>
    <w:p>
      <w:pPr>
        <w:pStyle w:val="Heading1"/>
      </w:pPr>
      <w:r>
        <w:t>八 稳定资料继承与动态重评</w:t>
      </w:r>
    </w:p>
    <w:p>
      <w:r>
        <w:t>可继承已核实的稳定病史和过敏记录，但给出原采集日期；年龄等随时间变化应核生日及本次时间。不继承今日意识、肌力、反射、吞咽、量表、生命体征、出血阴性、穿刺点、现行用药执行或当前血管状态；这些需要当次证据。已停药与诊断修正必须传播到后续文书和出院汇总。</w:t>
      </w:r>
    </w:p>
    <w:p>
      <w:pPr>
        <w:pStyle w:val="Heading1"/>
      </w:pPr>
      <w:r>
        <w:t>九 运行协议伪代码</w:t>
      </w:r>
    </w:p>
    <w:p>
      <w:r>
        <w:t>接收输入→识别任务与主键→隔离异身份资料→为每条事实建立来源与时间→发现冲突则阻断受影响结论→按事件及执行证据更新状态→选择最小模块→按文书与专病生成候选正文→10检查→通过后在代码框输出；阻断时只输出简明核对项。</w:t>
      </w:r>
    </w:p>
    <w:p>
      <w:r>
        <w:t>白名单输出：只允许verification=confirmed且patient/encounter相符的事实进入正式正文。量表需真实核定或完整项目，狭窄率需真实测量和方法，器械/再灌注/并发症阴性需对应实际记录。推断性分析使用“考虑/需鉴别”等并绑定支持资料，不作为新事实回写。</w:t>
      </w:r>
    </w:p>
    <w:p>
      <w:pPr>
        <w:pStyle w:val="Heading1"/>
      </w:pPr>
      <w:r>
        <w:t>十 典型模拟状态与纠错</w:t>
      </w:r>
    </w:p>
    <w:p>
      <w:r>
        <w:t>虚构N110/E01：P01于10月20日完成颈动脉支架，P02于10月24日完成诊断DSA；10月25日分别术后第5日与第1日。P02不能继承P01植入物为“本次新支架”。新附件标N111时隔离；若更正P02实际日期为10月23日，保留修订来源并将其术后日更正为第2日。</w:t>
      </w:r>
    </w:p>
    <w:p>
      <w:r>
        <w:t>2026年10月25日 09:00 多次介入病程记录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本次住院曾于10月20日接受颈动脉支架治疗，于10月24日另行诊断性DSA，按已核实手术日期分别为术后第5日与第1日。两次操作及结果分别管理，不能将既往支架记为本次DSA新植入。</w:t>
      </w:r>
    </w:p>
    <w:p>
      <w:pPr>
        <w:pStyle w:val="CodeFence"/>
      </w:pPr>
      <w:r>
        <w:t>```</w:t>
      </w:r>
    </w:p>
    <w:p>
      <w:pPr>
        <w:pStyle w:val="Heading1"/>
      </w:pPr>
      <w:r>
        <w:t>禁止事项与常见错误</w:t>
      </w:r>
    </w:p>
    <w:p>
      <w:r>
        <w:t>禁止复制模拟病例数据；禁止补全未查神经体征、量表、影像、器械、治疗时间、抗栓执行、会诊意见和签名。常见错误包括将未记录当作阴性、将拟行写成已完成、将较早查体当作今日查体、把报告推断写入报告原文。</w:t>
      </w:r>
    </w:p>
    <w:p>
      <w:pPr>
        <w:pStyle w:val="Heading1"/>
      </w:pPr>
      <w:r>
        <w:t>质量控制与模块协同</w:t>
      </w:r>
    </w:p>
    <w:p>
      <w:r>
        <w:t>01负责最高真实性与格式约束，11负责患者隔离、事件状态和最小路由，02负责文书骨架，03负责定位及量表，04负责报告证据，05负责围介入结构，06负责危重事件，07负责治疗状态，08负责三级查房，09负责功能与随访；101—108仅加载相关专病，最终统一经10审核。</w:t>
      </w:r>
    </w:p>
    <w:p>
      <w:r>
        <w:t>逐项确认：身份及本次住院正确；所有事实有来源与时间；左右侧及血管节段一致；计划与执行分离；评分不推测；疗效与并发症有证据；文书正文无占位符；日期标题与正文分离。重要冲突未解除时输出核对清单，不生成误导性的确定结论。</w:t>
      </w:r>
    </w:p>
    <w:p>
      <w:pPr>
        <w:pStyle w:val="Heading1"/>
      </w:pPr>
      <w:r>
        <w:t>指南与资料来源</w:t>
      </w:r>
    </w:p>
    <w:p>
      <w:r>
        <w:t>核验基准日为2026年10月25日。以下“已核验”仅指所写明的范围；检索未见更新不等于不存在更新。国际指南需结合中国规范、获批适应证、院内流程及医师判断。无具体推荐原文及等级依据时，标记“具体条目与证据等级待核验”，不得自行补成Ⅰ类或A级。</w:t>
      </w:r>
    </w:p>
    <w:p>
      <w:r>
        <w:t>[R01] 病历书写基本规范。卫生部，2010，卫医政发〔2010〕11号。官方发布题录与规范要求已核验。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医疗质量安全核心制度要点。国家卫生健康委员会，2018。官方发布及核心要求已核验。</w:t>
      </w:r>
    </w:p>
    <w:p>
      <w:r>
        <w:t>https://www.nhc.gov.cn/yzygj/c100068/201804/42ab2552298047679cd6ec733f233862.shtml</w:t>
      </w:r>
    </w:p>
    <w:p>
      <w:r>
        <w:t>[R03] 神经血管介入诊疗技术临床应用管理规范（2019年版）。国家卫生健康委，国卫办医函〔2019〕828号附件4。官方发布及取代2012版关系已核验。</w:t>
      </w:r>
    </w:p>
    <w:p>
      <w:r>
        <w:t>https://www.nhc.gov.cn/yzygj/c100068/201911/a4fccc8dd088417f99c892276da6dc93.shtml</w:t>
      </w:r>
    </w:p>
    <w:p>
      <w:r>
        <w:t>[R05] 中国急性缺血性卒中诊治指南2023。中华医学会神经病学分会及脑血管病学组；中华神经科杂志，2024，57（6）：523–559；DOI 10.3760/cma.j.cn113694-20240410-00221。题录与原刊署名PDF已核验；版本名2023、发表年2024；未检获可确认的同名新版，不宣称绝对最新。</w:t>
      </w:r>
    </w:p>
    <w:p>
      <w:r>
        <w:t>https://doi.org/10.3760/cma.j.cn113694-20240410-00221</w:t>
      </w:r>
    </w:p>
    <w:p>
      <w:r>
        <w:t>[R08] 2026 Guideline for the Early Management of Patients With Acute Ischemic Stroke。AHA/ASA，2026-01-26在线发表；DOI 10.1161/STR.0000000000000513。AHA官方指南页与更新要点已核验；原文检索片段可核验部分推荐，未核验等级不赋值。</w:t>
      </w:r>
    </w:p>
    <w:p>
      <w:r>
        <w:t>https://professional.heart.org/en/science-news/2026-guideline-for-the-early-management-of-patients-with-acute-ischemic-stroke</w:t>
      </w:r>
    </w:p>
    <w:p>
      <w:pPr>
        <w:pStyle w:val="Heading1"/>
      </w:pPr>
      <w:r>
        <w:t>更新与维护说明</w:t>
      </w:r>
    </w:p>
    <w:p>
      <w:r>
        <w:t>版本责任由科室指定的临床负责人、介入负责人和病案质控人员共同承担。至少每季度核验来源，指南、药品说明书或院内制度更新时立即复审相关阈值、禁忌证、术式授权和模板；记录旧版、变更理由、来源、审校人及生效日期。所有更新须重跑10模块30项模拟验收；修正原规则及全部受影响交叉引用后再发布。</w:t>
      </w:r>
    </w:p>
    <w:p>
      <w:r>
        <w:t>本交付物是Word规则与模板库。自动路由、状态管理及质控以文字协议供AI执行；未部署数据库、电子病历接口或后台调度器。新会话须显式提供当前患者状态及所需模块，不能声称已读取未提供的Word文件。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11  神经内科病历书写系统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Songti SC" w:hAnsi="Songti SC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Songti SC" w:hAnsi="Songti SC" w:eastAsia="Songti S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20"/>
      <w:contextualSpacing/>
    </w:pPr>
    <w:rPr>
      <w:rFonts w:ascii="Songti SC" w:hAnsi="Songti SC" w:eastAsia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icalBody">
    <w:name w:val="Clinical Body"/>
    <w:basedOn w:val="Normal"/>
    <w:pPr>
      <w:spacing w:after="60" w:before="0"/>
    </w:pPr>
    <w:rPr>
      <w:rFonts w:ascii="Songti SC" w:hAnsi="Songti SC" w:eastAsia="Songti SC"/>
    </w:rPr>
  </w:style>
  <w:style w:type="paragraph" w:customStyle="1" w:styleId="CodeFence">
    <w:name w:val="Code Fence"/>
    <w:basedOn w:val="Normal"/>
    <w:pPr>
      <w:spacing w:after="60" w:before="0"/>
    </w:pPr>
    <w:rPr>
      <w:rFonts w:ascii="Songti SC" w:hAnsi="Songti SC" w:eastAsia="Songti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神经内科AI自动调用路由与病例状态管理规则库</dc:title>
  <dc:subject>神经内科与神经介入医学文书规则及模板</dc:subject>
  <dc:creator>病历模板库</dc:creator>
  <cp:keywords>规则库 医师审核 真实病例资料 神经内科 神经介入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