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03 神经系统专科查体意识评估与神经定位模板库</w:t>
      </w:r>
    </w:p>
    <w:p>
      <w:r>
        <w:t>模块编号 03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神经实查评分和定位</w:t>
      </w:r>
    </w:p>
    <w:p>
      <w:r>
        <w:t>适用范围 意识颅神经肢体脊髓周围神经与量表</w:t>
      </w:r>
    </w:p>
    <w:p>
      <w:r>
        <w:t>自动调用条件 查体生成、动态变化、评分或定位任务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检查时点与限制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专科检查体系</w:t>
        </w:r>
      </w:hyperlink>
      <w:r>
        <w:tab/>
      </w:r>
      <w:fldSimple w:instr="PAGEREF sec_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意识状态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">
        <w:r>
          <w:t>GCS分项</w:t>
        </w:r>
      </w:hyperlink>
      <w:r>
        <w:tab/>
      </w:r>
      <w:fldSimple w:instr="PAGEREF sec_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">
        <w:r>
          <w:t>镇静麻醉肌松</w:t>
        </w:r>
      </w:hyperlink>
      <w:r>
        <w:tab/>
      </w:r>
      <w:fldSimple w:instr="PAGEREF sec_7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">
        <w:r>
          <w:t>瞳孔与光反射</w:t>
        </w:r>
      </w:hyperlink>
      <w:r>
        <w:tab/>
      </w:r>
      <w:fldSimple w:instr="PAGEREF sec_9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">
        <w:r>
          <w:t>眼位与运动</w:t>
        </w:r>
      </w:hyperlink>
      <w:r>
        <w:tab/>
      </w:r>
      <w:fldSimple w:instr="PAGEREF sec_11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">
        <w:r>
          <w:t>颅神经</w:t>
        </w:r>
      </w:hyperlink>
      <w:r>
        <w:tab/>
      </w:r>
      <w:fldSimple w:instr="PAGEREF sec_1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">
        <w:r>
          <w:t>肌力与运动</w:t>
        </w:r>
      </w:hyperlink>
      <w:r>
        <w:tab/>
      </w:r>
      <w:fldSimple w:instr="PAGEREF sec_1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">
        <w:r>
          <w:t>肌张力</w:t>
        </w:r>
      </w:hyperlink>
      <w:r>
        <w:tab/>
      </w:r>
      <w:fldSimple w:instr="PAGEREF sec_17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9">
        <w:r>
          <w:t>腱反射与病理反射</w:t>
        </w:r>
      </w:hyperlink>
      <w:r>
        <w:tab/>
      </w:r>
      <w:fldSimple w:instr="PAGEREF sec_19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1">
        <w:r>
          <w:t>感觉</w:t>
        </w:r>
      </w:hyperlink>
      <w:r>
        <w:tab/>
      </w:r>
      <w:fldSimple w:instr="PAGEREF sec_21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3">
        <w:r>
          <w:t>共济运动</w:t>
        </w:r>
      </w:hyperlink>
      <w:r>
        <w:tab/>
      </w:r>
      <w:fldSimple w:instr="PAGEREF sec_23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5">
        <w:r>
          <w:t>语言构音</w:t>
        </w:r>
      </w:hyperlink>
      <w:r>
        <w:tab/>
      </w:r>
      <w:fldSimple w:instr="PAGEREF sec_25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7">
        <w:r>
          <w:t>脑膜刺激征</w:t>
        </w:r>
      </w:hyperlink>
      <w:r>
        <w:tab/>
      </w:r>
      <w:fldSimple w:instr="PAGEREF sec_27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9">
        <w:r>
          <w:t>脑干反射</w:t>
        </w:r>
      </w:hyperlink>
      <w:r>
        <w:tab/>
      </w:r>
      <w:fldSimple w:instr="PAGEREF sec_29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1">
        <w:r>
          <w:t>自主神经</w:t>
        </w:r>
      </w:hyperlink>
      <w:r>
        <w:tab/>
      </w:r>
      <w:fldSimple w:instr="PAGEREF sec_31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3">
        <w:r>
          <w:t>脊髓损伤</w:t>
        </w:r>
      </w:hyperlink>
      <w:r>
        <w:tab/>
      </w:r>
      <w:fldSimple w:instr="PAGEREF sec_33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5">
        <w:r>
          <w:t>周围神经</w:t>
        </w:r>
      </w:hyperlink>
      <w:r>
        <w:tab/>
      </w:r>
      <w:fldSimple w:instr="PAGEREF sec_35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37">
        <w:r>
          <w:t>常用量表适用条件和评分规则</w:t>
        </w:r>
      </w:hyperlink>
      <w:r>
        <w:tab/>
      </w:r>
      <w:fldSimple w:instr="PAGEREF sec_37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8">
        <w:r>
          <w:t>GCS</w:t>
        </w:r>
      </w:hyperlink>
      <w:r>
        <w:tab/>
      </w:r>
      <w:fldSimple w:instr="PAGEREF sec_3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1">
        <w:r>
          <w:t>NIHSS</w:t>
        </w:r>
      </w:hyperlink>
      <w:r>
        <w:tab/>
      </w:r>
      <w:fldSimple w:instr="PAGEREF sec_41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4">
        <w:r>
          <w:t>mRS</w:t>
        </w:r>
      </w:hyperlink>
      <w:r>
        <w:tab/>
      </w:r>
      <w:fldSimple w:instr="PAGEREF sec_4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7">
        <w:r>
          <w:t>KPS</w:t>
        </w:r>
      </w:hyperlink>
      <w:r>
        <w:tab/>
      </w:r>
      <w:fldSimple w:instr="PAGEREF sec_47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0">
        <w:r>
          <w:t>ECOG</w:t>
        </w:r>
      </w:hyperlink>
      <w:r>
        <w:tab/>
      </w:r>
      <w:fldSimple w:instr="PAGEREF sec_5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3">
        <w:r>
          <w:t>ASIA ISNCSCI</w:t>
        </w:r>
      </w:hyperlink>
      <w:r>
        <w:tab/>
      </w:r>
      <w:fldSimple w:instr="PAGEREF sec_53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6">
        <w:r>
          <w:t>Hunt Hess</w:t>
        </w:r>
      </w:hyperlink>
      <w:r>
        <w:tab/>
      </w:r>
      <w:fldSimple w:instr="PAGEREF sec_5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9">
        <w:r>
          <w:t>WFNS</w:t>
        </w:r>
      </w:hyperlink>
      <w:r>
        <w:tab/>
      </w:r>
      <w:fldSimple w:instr="PAGEREF sec_5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2">
        <w:r>
          <w:t>改良Fisher</w:t>
        </w:r>
      </w:hyperlink>
      <w:r>
        <w:tab/>
      </w:r>
      <w:fldSimple w:instr="PAGEREF sec_62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5">
        <w:r>
          <w:t>其他适用量表</w:t>
        </w:r>
      </w:hyperlink>
      <w:r>
        <w:tab/>
      </w:r>
      <w:fldSimple w:instr="PAGEREF sec_65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68">
        <w:r>
          <w:t>神经定位分析规则</w:t>
        </w:r>
      </w:hyperlink>
      <w:r>
        <w:tab/>
      </w:r>
      <w:fldSimple w:instr="PAGEREF sec_68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9">
        <w:r>
          <w:t>大脑半球</w:t>
        </w:r>
      </w:hyperlink>
      <w:r>
        <w:tab/>
      </w:r>
      <w:fldSimple w:instr="PAGEREF sec_69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2">
        <w:r>
          <w:t>脑干</w:t>
        </w:r>
      </w:hyperlink>
      <w:r>
        <w:tab/>
      </w:r>
      <w:fldSimple w:instr="PAGEREF sec_72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5">
        <w:r>
          <w:t>小脑</w:t>
        </w:r>
      </w:hyperlink>
      <w:r>
        <w:tab/>
      </w:r>
      <w:fldSimple w:instr="PAGEREF sec_75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8">
        <w:r>
          <w:t>颅神经</w:t>
        </w:r>
      </w:hyperlink>
      <w:r>
        <w:tab/>
      </w:r>
      <w:fldSimple w:instr="PAGEREF sec_78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1">
        <w:r>
          <w:t>垂体鞍区</w:t>
        </w:r>
      </w:hyperlink>
      <w:r>
        <w:tab/>
      </w:r>
      <w:fldSimple w:instr="PAGEREF sec_81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4">
        <w:r>
          <w:t>脊髓</w:t>
        </w:r>
      </w:hyperlink>
      <w:r>
        <w:tab/>
      </w:r>
      <w:fldSimple w:instr="PAGEREF sec_84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7">
        <w:r>
          <w:t>神经根</w:t>
        </w:r>
      </w:hyperlink>
      <w:r>
        <w:tab/>
      </w:r>
      <w:fldSimple w:instr="PAGEREF sec_87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0">
        <w:r>
          <w:t>周围神经</w:t>
        </w:r>
      </w:hyperlink>
      <w:r>
        <w:tab/>
      </w:r>
      <w:fldSimple w:instr="PAGEREF sec_90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93">
        <w:r>
          <w:t>实际模板</w:t>
        </w:r>
      </w:hyperlink>
      <w:r>
        <w:tab/>
      </w:r>
      <w:fldSimple w:instr="PAGEREF sec_93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97">
        <w:r>
          <w:t>模拟病例</w:t>
        </w:r>
      </w:hyperlink>
      <w:r>
        <w:tab/>
      </w:r>
      <w:fldSimple w:instr="PAGEREF sec_97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99">
        <w:r>
          <w:t>事实边界与常见错误</w:t>
        </w:r>
      </w:hyperlink>
      <w:r>
        <w:tab/>
      </w:r>
      <w:fldSimple w:instr="PAGEREF sec_99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sec_102">
        <w:r>
          <w:t>模块联动与最终质控</w:t>
        </w:r>
      </w:hyperlink>
      <w:r>
        <w:tab/>
      </w:r>
      <w:fldSimple w:instr="PAGEREF sec_102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sec_104">
        <w:r>
          <w:t>评分与版本审查补充</w:t>
        </w:r>
      </w:hyperlink>
      <w:r>
        <w:tab/>
      </w:r>
      <w:fldSimple w:instr="PAGEREF sec_104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10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检查时点与限制</w:t>
      </w:r>
      <w:bookmarkEnd w:id="100"/>
    </w:p>
    <w:p>
      <w:r>
        <w:t>先保留检查时间、资料来源、镇静麻醉肌松插管及合作程度，再逐项提取结果。主诉、家属观察、护理观察和医师查体不混为同等实测。每次病程关注意识瞳孔运动，缺项框外提示；不能无来源补正常。</w:t>
      </w:r>
    </w:p>
    <w:p>
      <w:pPr>
        <w:pStyle w:val="Heading1"/>
      </w:pPr>
      <w:bookmarkStart w:id="102" w:name="sec_2"/>
      <w:r>
        <w:t>专科检查体系</w:t>
      </w:r>
      <w:bookmarkEnd w:id="102"/>
    </w:p>
    <w:p>
      <w:pPr>
        <w:pStyle w:val="Heading2"/>
      </w:pPr>
      <w:bookmarkStart w:id="103" w:name="sec_3"/>
      <w:r>
        <w:t>意识状态</w:t>
      </w:r>
      <w:bookmarkEnd w:id="103"/>
    </w:p>
    <w:p>
      <w:r>
        <w:t>记录清醒、嗜睡、昏睡、昏迷或其他实测描述，附评估刺激和镇静影响；不能仅凭睁眼认定意识清楚。</w:t>
      </w:r>
    </w:p>
    <w:p>
      <w:pPr>
        <w:pStyle w:val="Heading2"/>
      </w:pPr>
      <w:bookmarkStart w:id="105" w:name="sec_5"/>
      <w:r>
        <w:t>GCS分项</w:t>
      </w:r>
      <w:bookmarkEnd w:id="105"/>
    </w:p>
    <w:p>
      <w:r>
        <w:t>分别记睁眼、语言、最佳运动和双侧差异；总分不替代局灶运动描述。</w:t>
      </w:r>
    </w:p>
    <w:p>
      <w:pPr>
        <w:pStyle w:val="Heading2"/>
      </w:pPr>
      <w:bookmarkStart w:id="107" w:name="sec_7"/>
      <w:r>
        <w:t>镇静麻醉肌松</w:t>
      </w:r>
      <w:bookmarkEnd w:id="107"/>
    </w:p>
    <w:p>
      <w:r>
        <w:t>记录药名与执行时段、停药时点如有、RASS等实际评分和不能评估原因；不能常规要求停镇静。</w:t>
      </w:r>
    </w:p>
    <w:p>
      <w:pPr>
        <w:pStyle w:val="Heading2"/>
      </w:pPr>
      <w:bookmarkStart w:id="109" w:name="sec_9"/>
      <w:r>
        <w:t>瞳孔与光反射</w:t>
      </w:r>
      <w:bookmarkEnd w:id="109"/>
    </w:p>
    <w:p>
      <w:r>
        <w:t>患者自身左/右分别记录毫米值、形态、直接/间接反射及眼外伤眼病干扰；缺项不补等大等圆。</w:t>
      </w:r>
    </w:p>
    <w:p>
      <w:pPr>
        <w:pStyle w:val="Heading2"/>
      </w:pPr>
      <w:bookmarkStart w:id="111" w:name="sec_11"/>
      <w:r>
        <w:t>眼位与运动</w:t>
      </w:r>
      <w:bookmarkEnd w:id="111"/>
    </w:p>
    <w:p>
      <w:r>
        <w:t>眼位、凝视偏向、复视、眼球各方向运动及眼震，按实际检查范围写。</w:t>
      </w:r>
    </w:p>
    <w:p>
      <w:pPr>
        <w:pStyle w:val="Heading2"/>
      </w:pPr>
      <w:bookmarkStart w:id="113" w:name="sec_13"/>
      <w:r>
        <w:t>颅神经</w:t>
      </w:r>
      <w:bookmarkEnd w:id="113"/>
    </w:p>
    <w:p>
      <w:r>
        <w:t>I嗅觉在适用且可评估时；II视力视野眼底；III IV VI眼球和瞳孔；V面感觉咀嚼；VII面运动；VIII听力前庭；IX X声音吞咽腭及咳嗽；XI耸肩转头；XII舌运动。未查不写全部正常。</w:t>
      </w:r>
    </w:p>
    <w:p>
      <w:pPr>
        <w:pStyle w:val="Heading2"/>
      </w:pPr>
      <w:bookmarkStart w:id="115" w:name="sec_15"/>
      <w:r>
        <w:t>肌力与运动</w:t>
      </w:r>
      <w:bookmarkEnd w:id="115"/>
    </w:p>
    <w:p>
      <w:r>
        <w:t>左右上/下肢分肌群0—5级；0无收缩，1可见收缩，2消除重力可动，3抗重力，4可抗部分阻力，5正常；疼痛、骨折、失语和意识限制须标记。</w:t>
      </w:r>
    </w:p>
    <w:p>
      <w:pPr>
        <w:pStyle w:val="Heading2"/>
      </w:pPr>
      <w:bookmarkStart w:id="117" w:name="sec_17"/>
      <w:r>
        <w:t>肌张力</w:t>
      </w:r>
      <w:bookmarkEnd w:id="117"/>
    </w:p>
    <w:p>
      <w:r>
        <w:t>低张增高及痉挛或强直描述，不能用肌力代肌张力。</w:t>
      </w:r>
    </w:p>
    <w:p>
      <w:pPr>
        <w:pStyle w:val="Heading2"/>
      </w:pPr>
      <w:bookmarkStart w:id="119" w:name="sec_19"/>
      <w:r>
        <w:t>腱反射与病理反射</w:t>
      </w:r>
      <w:bookmarkEnd w:id="119"/>
    </w:p>
    <w:p>
      <w:r>
        <w:t>逐侧记录肱二三头、桡骨膜、膝踝及Babinski等已做项目；未查与阴性区分。</w:t>
      </w:r>
    </w:p>
    <w:p>
      <w:pPr>
        <w:pStyle w:val="Heading2"/>
      </w:pPr>
      <w:bookmarkStart w:id="121" w:name="sec_21"/>
      <w:r>
        <w:t>感觉</w:t>
      </w:r>
      <w:bookmarkEnd w:id="121"/>
    </w:p>
    <w:p>
      <w:r>
        <w:t>浅感觉深感觉皮层感觉和感觉平面，注明配合和镇静，神经根皮节与周围神经分布分开。</w:t>
      </w:r>
    </w:p>
    <w:p>
      <w:pPr>
        <w:pStyle w:val="Heading2"/>
      </w:pPr>
      <w:bookmarkStart w:id="123" w:name="sec_23"/>
      <w:r>
        <w:t>共济运动</w:t>
      </w:r>
      <w:bookmarkEnd w:id="123"/>
    </w:p>
    <w:p>
      <w:r>
        <w:t>指鼻、跟膝胫、快速轮替和站立步态按能力检查；瘫痪不能完成不写共济正常。</w:t>
      </w:r>
    </w:p>
    <w:p>
      <w:pPr>
        <w:pStyle w:val="Heading2"/>
      </w:pPr>
      <w:bookmarkStart w:id="125" w:name="sec_25"/>
      <w:r>
        <w:t>语言构音</w:t>
      </w:r>
      <w:bookmarkEnd w:id="125"/>
    </w:p>
    <w:p>
      <w:r>
        <w:t>失语类型、命名理解复述和构音分开；插管失音不等于失语。</w:t>
      </w:r>
    </w:p>
    <w:p>
      <w:pPr>
        <w:pStyle w:val="Heading2"/>
      </w:pPr>
      <w:bookmarkStart w:id="127" w:name="sec_27"/>
      <w:r>
        <w:t>脑膜刺激征</w:t>
      </w:r>
      <w:bookmarkEnd w:id="127"/>
    </w:p>
    <w:p>
      <w:r>
        <w:t>颈抵抗Kernig等实测；颈椎未排除损伤不强做危险动作。</w:t>
      </w:r>
    </w:p>
    <w:p>
      <w:pPr>
        <w:pStyle w:val="Heading2"/>
      </w:pPr>
      <w:bookmarkStart w:id="129" w:name="sec_29"/>
      <w:r>
        <w:t>脑干反射</w:t>
      </w:r>
      <w:bookmarkEnd w:id="129"/>
    </w:p>
    <w:p>
      <w:r>
        <w:t>适用时记角膜、咳嗽、咽及其他实际项目；眼头反射须先排颈伤且由有资质人员判断，不能据缺失直接诊断脑死亡。</w:t>
      </w:r>
    </w:p>
    <w:p>
      <w:pPr>
        <w:pStyle w:val="Heading2"/>
      </w:pPr>
      <w:bookmarkStart w:id="131" w:name="sec_31"/>
      <w:r>
        <w:t>自主神经</w:t>
      </w:r>
      <w:bookmarkEnd w:id="131"/>
    </w:p>
    <w:p>
      <w:r>
        <w:t>血压心率体温出汗尿潴留和肠功能，结合药物脊髓节段，不自动认定神经源性。</w:t>
      </w:r>
    </w:p>
    <w:p>
      <w:pPr>
        <w:pStyle w:val="Heading2"/>
      </w:pPr>
      <w:bookmarkStart w:id="133" w:name="sec_33"/>
      <w:r>
        <w:t>脊髓损伤</w:t>
      </w:r>
      <w:bookmarkEnd w:id="133"/>
    </w:p>
    <w:p>
      <w:r>
        <w:t>感觉运动层面、骶段感觉深肛压与自主肛门收缩、关键肌、反射和膀胱直肠功能；AIS需全变量与正式工作表。</w:t>
      </w:r>
    </w:p>
    <w:p>
      <w:pPr>
        <w:pStyle w:val="Heading2"/>
      </w:pPr>
      <w:bookmarkStart w:id="135" w:name="sec_35"/>
      <w:r>
        <w:t>周围神经</w:t>
      </w:r>
      <w:bookmarkEnd w:id="135"/>
    </w:p>
    <w:p>
      <w:r>
        <w:t>具体神经支配肌群、感觉区、营养反射、Tinel及电生理实际结果，根丛与单神经鉴别。</w:t>
      </w:r>
    </w:p>
    <w:p>
      <w:pPr>
        <w:pStyle w:val="Heading1"/>
      </w:pPr>
      <w:bookmarkStart w:id="137" w:name="sec_37"/>
      <w:r>
        <w:t>常用量表适用条件和评分规则</w:t>
      </w:r>
      <w:bookmarkEnd w:id="137"/>
    </w:p>
    <w:p>
      <w:pPr>
        <w:pStyle w:val="Heading2"/>
      </w:pPr>
      <w:bookmarkStart w:id="138" w:name="sec_38"/>
      <w:r>
        <w:t>GCS</w:t>
      </w:r>
      <w:bookmarkEnd w:id="138"/>
    </w:p>
    <w:p>
      <w:r>
        <w:t>清晰记录E/V/M。E4自发、3呼唤、2压力、1无；V5定向、4错乱、3词语、2声音、1无；M6遵嘱、5定位、4正常屈曲撤退、3异常屈曲、2伸展、1无。实际最好反应评分并另记双侧差异。</w:t>
      </w:r>
    </w:p>
    <w:p>
      <w:r>
        <w:t>评分守卫：仅全部可测才总分3—15。插管语言NT、眼局部闭合或肌松运动NT均写原因；不能将NT当1或强给总分。</w:t>
      </w:r>
    </w:p>
    <w:p>
      <w:pPr>
        <w:pStyle w:val="Heading2"/>
      </w:pPr>
      <w:bookmarkStart w:id="141" w:name="sec_41"/>
      <w:r>
        <w:t>NIHSS</w:t>
      </w:r>
      <w:bookmarkEnd w:id="141"/>
    </w:p>
    <w:p>
      <w:r>
        <w:t>适用卒中及相关神经缺损量化，不替代神外定位。1a意识0—3、1b提问0—2、1c指令0—2、凝视0—2、视野0—3、面瘫0—3、左右臂各0—4、左右腿各0—4、共济0—2、感觉0—2、语言0—3、构音0—2、忽视0—2；按NINDS当版任务和特殊情形规则逐项评分。</w:t>
      </w:r>
    </w:p>
    <w:p>
      <w:r>
        <w:t>评分守卫：总分0—42须完整真实逐项，截肢或无法评估按该量表本身规则，不能借用GCS的NT处理或空项补0；后循环和认知盲点需另述。</w:t>
      </w:r>
    </w:p>
    <w:p>
      <w:pPr>
        <w:pStyle w:val="Heading2"/>
      </w:pPr>
      <w:bookmarkStart w:id="144" w:name="sec_44"/>
      <w:r>
        <w:t>mRS</w:t>
      </w:r>
      <w:bookmarkEnd w:id="144"/>
    </w:p>
    <w:p>
      <w:r>
        <w:t>0无症状；1有症状但通常活动不受限；2轻残但可独立处理自身事务；3需部分帮助仍可独立步行；4需协助行走及日常照护；5卧床持续照护；6死亡。</w:t>
      </w:r>
    </w:p>
    <w:p>
      <w:r>
        <w:t>评分守卫：记录评估时点和病前/当前，不能从肌力单项推出独立生活能力。</w:t>
      </w:r>
    </w:p>
    <w:p>
      <w:pPr>
        <w:pStyle w:val="Heading2"/>
      </w:pPr>
      <w:bookmarkStart w:id="147" w:name="sec_47"/>
      <w:r>
        <w:t>KPS</w:t>
      </w:r>
      <w:bookmarkEnd w:id="147"/>
    </w:p>
    <w:p>
      <w:r>
        <w:t>100正常无症状；90轻微症状通常活动；80正常活动需努力；70能自理但不能通常工作；60偶需帮助；50需较多帮助医疗；40残障需特别照护；30严重残障需住院照护；20极重需积极支持；10濒危；0死亡。</w:t>
      </w:r>
    </w:p>
    <w:p>
      <w:r>
        <w:t>评分守卫：以实际功能活动证据选择十分档，不能与ECOG机械换算，按采用的标准表确认。</w:t>
      </w:r>
    </w:p>
    <w:p>
      <w:pPr>
        <w:pStyle w:val="Heading2"/>
      </w:pPr>
      <w:bookmarkStart w:id="150" w:name="sec_50"/>
      <w:r>
        <w:t>ECOG</w:t>
      </w:r>
      <w:bookmarkEnd w:id="150"/>
    </w:p>
    <w:p>
      <w:r>
        <w:t>0正常活动；1剧烈活动受限但能轻工作；2能自理、不能工作，白天超过半数时间活动；3自理有限、白天超过半数卧床或坐椅；4完全不能自理；5死亡。</w:t>
      </w:r>
    </w:p>
    <w:p>
      <w:r>
        <w:t>评分守卫：患者活动能力和照护实际支持各档；术后要求卧床不直接代表肿瘤体能评分恶化。</w:t>
      </w:r>
    </w:p>
    <w:p>
      <w:pPr>
        <w:pStyle w:val="Heading2"/>
      </w:pPr>
      <w:bookmarkStart w:id="153" w:name="sec_53"/>
      <w:r>
        <w:t>ASIA ISNCSCI</w:t>
      </w:r>
      <w:bookmarkEnd w:id="153"/>
    </w:p>
    <w:p>
      <w:r>
        <w:t>采用本院批准且已核验的2026第9版或明确历史版本工作表。双侧C2—S4/5轻触针刺、C5—T1及L2—S1关键肌、骶段保留、深肛压和自主肛门收缩等完整记录，再定左右感觉运动平面、NLI、AIS与适用ZPP。</w:t>
      </w:r>
    </w:p>
    <w:p>
      <w:r>
        <w:t>评分守卫：AIS A无骶段感觉运动保留；B感觉不完全但不符合运动不完全；C/D依运动不完全及损伤平面以下关键肌分布区分；E须符合既往SCI现神经检查恢复正常的定义。缺骶段或关键肌不能自动分级；细则必须按指定工作表，禁将影像骨折节段当NLI。</w:t>
      </w:r>
    </w:p>
    <w:p>
      <w:pPr>
        <w:pStyle w:val="Heading2"/>
      </w:pPr>
      <w:bookmarkStart w:id="156" w:name="sec_56"/>
      <w:r>
        <w:t>Hunt Hess</w:t>
      </w:r>
      <w:bookmarkEnd w:id="156"/>
    </w:p>
    <w:p>
      <w:r>
        <w:t>用于SAH临床严重程度。I无症状或轻头痛轻颈抵抗；II中重度头痛颈抵抗、无主要局灶缺损（可有颅神经麻痹）；III嗜睡错乱或轻局灶缺损；IV昏睡中重偏瘫及可能早期去脑强直/自主异常；V深昏迷去脑强直濒危。</w:t>
      </w:r>
    </w:p>
    <w:p>
      <w:r>
        <w:t>评分守卫：依据真实评估状态与原版定义；镇静干扰不可强分，不能由CT血量推出HH。</w:t>
      </w:r>
    </w:p>
    <w:p>
      <w:pPr>
        <w:pStyle w:val="Heading2"/>
      </w:pPr>
      <w:bookmarkStart w:id="159" w:name="sec_59"/>
      <w:r>
        <w:t>WFNS</w:t>
      </w:r>
      <w:bookmarkEnd w:id="159"/>
    </w:p>
    <w:p>
      <w:r>
        <w:t>原始WFNS：I GCS15且无运动缺损；II GCS13—14且无运动缺损；III GCS13—14伴运动缺损；IV GCS7—12；V GCS3—6。</w:t>
      </w:r>
    </w:p>
    <w:p>
      <w:r>
        <w:t>评分守卫：必须有可靠GCS和适用运动数据，不能与仅按GCS的改良WFNS混用。</w:t>
      </w:r>
    </w:p>
    <w:p>
      <w:pPr>
        <w:pStyle w:val="Heading2"/>
      </w:pPr>
      <w:bookmarkStart w:id="162" w:name="sec_62"/>
      <w:r>
        <w:t>改良Fisher</w:t>
      </w:r>
      <w:bookmarkEnd w:id="162"/>
    </w:p>
    <w:p>
      <w:r>
        <w:t>依据CT的SAH厚度和脑室内血：0无SAH无IVH；1薄层SAH无IVH；2薄层SAH伴IVH；3厚层SAH无IVH；4厚层SAH伴IVH。</w:t>
      </w:r>
    </w:p>
    <w:p>
      <w:r>
        <w:t>评分守卫：按原研究量表的薄厚定义和真实图像/报告由医师核定；报告未说明厚薄不自动给分，不能与经典Fisher互换。</w:t>
      </w:r>
    </w:p>
    <w:p>
      <w:pPr>
        <w:pStyle w:val="Heading2"/>
      </w:pPr>
      <w:bookmarkStart w:id="165" w:name="sec_65"/>
      <w:r>
        <w:t>其他适用量表</w:t>
      </w:r>
      <w:bookmarkEnd w:id="165"/>
    </w:p>
    <w:p>
      <w:r>
        <w:t>ICH评分须GCS、年龄、部位、体积和IVH；Spetzler Martin须AVM最大径、功能区及深静脉引流；癫痫结局Engel/ILAE、DBS运动MDS UPDRS、面神经House Brackmann及听力量表按实际适用和版本。</w:t>
      </w:r>
    </w:p>
    <w:p>
      <w:r>
        <w:t>评分守卫：本库不给未获原表核验的自动分数。量表变量、来源、时点、版本、评分者齐备后调用对应正式表；不得据病名或手术推级。</w:t>
      </w:r>
    </w:p>
    <w:p>
      <w:pPr>
        <w:pStyle w:val="Heading1"/>
      </w:pPr>
      <w:bookmarkStart w:id="168" w:name="sec_68"/>
      <w:r>
        <w:t>神经定位分析规则</w:t>
      </w:r>
      <w:bookmarkEnd w:id="168"/>
    </w:p>
    <w:p>
      <w:pPr>
        <w:pStyle w:val="Heading2"/>
      </w:pPr>
      <w:bookmarkStart w:id="169" w:name="sec_69"/>
      <w:r>
        <w:t>大脑半球</w:t>
      </w:r>
      <w:bookmarkEnd w:id="169"/>
    </w:p>
    <w:p>
      <w:r>
        <w:t>优势半球语言、对侧运动感觉、视野及认知症状与具体皮质/皮质下通路对照；优势侧不能由惯用手绝对确定。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72" w:name="sec_72"/>
      <w:r>
        <w:t>脑干</w:t>
      </w:r>
      <w:bookmarkEnd w:id="172"/>
    </w:p>
    <w:p>
      <w:r>
        <w:t>交叉性颅神经与长束体征、眼动和呼吸意识，结合脑桥延髓中脑层面；药物影响先识别。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75" w:name="sec_75"/>
      <w:r>
        <w:t>小脑</w:t>
      </w:r>
      <w:bookmarkEnd w:id="175"/>
    </w:p>
    <w:p>
      <w:r>
        <w:t>同侧共济失调、眼震、躯干步态与后颅窝占位脑积水并评；眩晕不等于小脑病变。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78" w:name="sec_78"/>
      <w:r>
        <w:t>颅神经</w:t>
      </w:r>
      <w:bookmarkEnd w:id="178"/>
    </w:p>
    <w:p>
      <w:r>
        <w:t>单神经、多神经与核上/核下定位；鞍旁海绵窦、眶尖、桥小脑角及颅底孔道关系。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81" w:name="sec_81"/>
      <w:r>
        <w:t>垂体鞍区</w:t>
      </w:r>
      <w:bookmarkEnd w:id="181"/>
    </w:p>
    <w:p>
      <w:r>
        <w:t>视交叉视野、视神经视力、海绵窦颅神经及垂体轴；功能异常与解剖压迫分别证据。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84" w:name="sec_84"/>
      <w:r>
        <w:t>脊髓</w:t>
      </w:r>
      <w:bookmarkEnd w:id="184"/>
    </w:p>
    <w:p>
      <w:r>
        <w:t>运动感觉水平、长束体征和括约肌，脊髓节段与椎体水平分开；急性脊髓休克不按反射低直接排除。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87" w:name="sec_87"/>
      <w:r>
        <w:t>神经根</w:t>
      </w:r>
      <w:bookmarkEnd w:id="187"/>
    </w:p>
    <w:p>
      <w:r>
        <w:t>根性疼痛、皮节感觉、肌节无力及反射与MRI侧别节段一致性，影像退变不自动为责任病灶。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2"/>
      </w:pPr>
      <w:bookmarkStart w:id="190" w:name="sec_90"/>
      <w:r>
        <w:t>周围神经</w:t>
      </w:r>
      <w:bookmarkEnd w:id="190"/>
    </w:p>
    <w:p>
      <w:r>
        <w:t>神经分布、神经丛根与单神经的肌群感觉差异，结合电生理定位，不能仅凭麻木确定压迫点。</w:t>
      </w:r>
    </w:p>
    <w:p>
      <w:r>
        <w:t>输出顺序：真实体征→支持部位及侧别→不一致证据→影像对应与待核问题，定位推理保留确定程度。</w:t>
      </w:r>
    </w:p>
    <w:p>
      <w:pPr>
        <w:pStyle w:val="Heading1"/>
      </w:pPr>
      <w:bookmarkStart w:id="193" w:name="sec_93"/>
      <w:r>
        <w:t>实际模板</w:t>
      </w:r>
      <w:bookmarkEnd w:id="193"/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神经功能动态评估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本次于【评估时刻】检查，患者【意识】，GCS分项【E/V/M或NT及原因】，瞳孔【左右数值反射】，运动【分侧肌群】，感觉语言颅神经【真实资料】。评估受【实际因素】影响。与【可比基线时间】比较【证实变化】，定位考虑【证据支持部位】，需【真实复评计划】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197" w:name="sec_97"/>
      <w:r>
        <w:t>模拟病例</w:t>
      </w:r>
      <w:bookmarkEnd w:id="197"/>
    </w:p>
    <w:p>
      <w:r>
        <w:t>SIM-EXAM-01：患者气管插管，呼唤睁眼、可遵嘱抬手，语言不能测试。输出E3、VNT（插管）、M6，不给总分；没有瞳孔数据即写资料未提供，不能写双瞳3mm。若单侧上肢骨折限制运动，最佳M与该侧不能评估要同时描述，不能据最佳M6写四肢肌力5级。</w:t>
      </w:r>
    </w:p>
    <w:p>
      <w:pPr>
        <w:pStyle w:val="Heading1"/>
      </w:pPr>
      <w:bookmarkStart w:id="199" w:name="sec_99"/>
      <w:r>
        <w:t>事实边界与常见错误</w:t>
      </w:r>
      <w:bookmarkEnd w:id="199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202" w:name="sec_102"/>
      <w:r>
        <w:t>模块联动与最终质控</w:t>
      </w:r>
      <w:bookmarkEnd w:id="202"/>
    </w:p>
    <w:p>
      <w:r>
        <w:t>由00进入，01约束，11绑定患者及住院事件后调用03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204" w:name="sec_104"/>
      <w:r>
        <w:t>评分与版本审查补充</w:t>
      </w:r>
      <w:bookmarkEnd w:id="204"/>
    </w:p>
    <w:p>
      <w:r>
        <w:t>NIHSS应使用NINDS当版正式评估材料及培训规则；本次2024链接直接访问失败，已标明来源访问限制。KPS、mRS及肌力等摘要用于文书核对，不作为未经培训的自动评分授权；必须保存实际变量和所用正式表。本库不能用脑死亡评估或单个脑干反射代替中国法定死亡判定流程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[G01] Glasgow Coma Scale Assessment Aid and FAQ。发布机构：Institute of Neurological Sciences Glasgow GCS官方项目；年份/版本：2017评估表/官网FAQ；核验日期：2026年10月26日。适用范围：E V M分项和NT限制；语言无法评估不强制赋1分。核验层级：官网全文或原始指南页面已核验。来源：https://www.glasgowcomascale.org/faq/</w:t>
      </w:r>
    </w:p>
    <w:p>
      <w:r>
        <w:t>[SP01] International Standards for Neurological Classification of SCI Ninth Edition。发布机构：ASIA ISCoS；年份/版本：2026；核验日期：2026年10月26日。适用范围：脊髓损伤神经分级；保存所用工作表版本，旧表记录不自动重算。核验层级：官网2026工作表与第9版出版信息已核验；细则按正式表及原文。来源：https://asia-spinalinjury.org/isncsci-resources/</w:t>
      </w:r>
    </w:p>
    <w:p>
      <w:r>
        <w:t>[C04] 2023 Guideline for the Management of Patients With Aneurysmal Subarachnoid Hemorrhage。发布机构：AHA/ASA；年份/版本：2023；核验日期：2026年10月26日。适用范围：动脉瘤性SAH；DCI与血管痉挛区分、早期瘤体处理和多学科策略。核验层级：官网全文或原始指南页面已核验。来源：https://www.ahajournals.org/doi/pdf/10.1161/STR.0000000000000436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[G02] NIH Stroke Scale Updated 2024。发布机构：NINDS NIH；年份/版本：2024；核验日期：2026年10月26日。适用范围：卒中神经缺损逐项量化；正式评分按官方任务及限制规则。核验层级：官方2024表链接由AHA及原始研究引用交叉核对，直接访问失败；评分细则执行前以可访问正式表再核验。来源：https://www.ninds.nih.gov/sites/default/files/2024-05/KnowStroke_NIH-StrokeScale_May2024_508c.pdf</w:t>
      </w:r>
    </w:p>
    <w:p>
      <w:r>
        <w:t>[G03] ECOG Performance Status Scale。发布机构：ECOG ACRIN Cancer Research Group；年份/版本：1982原始量表/官网现行表；核验日期：2026年10月26日。适用范围：肿瘤患者体能；与KPS不得机械换算。核验层级：官网全文或原始指南页面已核验。来源：https://ecog-acrin.org/resources/ecog-performance-status/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03  |  </w:t>
    </w:r>
    <w:fldSimple w:instr="PAGE">
      <w:r>
        <w:t>1</w:t>
      </w:r>
    </w:fldSimple>
    <w:r>
      <w:t xml:space="preserve"> / </w:t>
    </w:r>
    <w:fldSimple w:instr="NUMPAGES">
      <w:r>
        <w:t>11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神经系统专科查体意识评估与神经定位模板库</dc:title>
  <dc:subject>神经外科医学文书规则库</dc:subject>
  <dc:creator>神经外科病历模板库</dc:creator>
  <cp:keywords>03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