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神经外科AI病历书写系统</w:t>
      </w:r>
    </w:p>
    <w:p>
      <w:pPr>
        <w:pStyle w:val="Subtitle"/>
      </w:pPr>
      <w:r>
        <w:t>V1.0</w:t>
      </w:r>
    </w:p>
    <w:p>
      <w:pPr>
        <w:pStyle w:val="Title"/>
      </w:pPr>
      <w:r>
        <w:t>04 神经外科影像检验电生理病理及特殊检查分析模板库</w:t>
      </w:r>
    </w:p>
    <w:p>
      <w:r>
        <w:t>模块编号 04    版本 V1.0</w:t>
      </w:r>
    </w:p>
    <w:p>
      <w:r>
        <w:t>所属层级 第二级 通用功能层</w:t>
      </w:r>
    </w:p>
    <w:p>
      <w:r>
        <w:t>创建及公开来源核验日期 2026年10月26日</w:t>
      </w:r>
    </w:p>
    <w:p>
      <w:r>
        <w:t>功能定位 检查原文整理与临床证据分析双模式</w:t>
      </w:r>
    </w:p>
    <w:p>
      <w:r>
        <w:t>适用范围 39类影像检验电生理病理与监测资料</w:t>
      </w:r>
    </w:p>
    <w:p>
      <w:r>
        <w:t>自动调用条件 上传检查、影像对比、病理回报或诊断修正</w:t>
      </w:r>
    </w:p>
    <w:p>
      <w:r>
        <w:t>供中国医院神经外科临床医师使用的文书辅助规则库。阅读本模块后，应能提取本例证据、选择诊疗阶段、保留事实边界并生成可审核的病历正文。</w:t>
      </w:r>
    </w:p>
    <w:p>
      <w:r>
        <w:t>本系统是医师审核前的文书辅助规则库，不能替代查体、手术或介入决策、医嘱开立、装置操作、知情沟通、签名或法定审核。每一患者事实绑定patient_id、encounter_id、event_id、发生时间、可获知时间、来源及核验状态；未知不等于正常，未提供不等于未发生。稳定背景可按来源继承，当日神经查体、生命体征、引流和用药执行须有对应时间的资料。医学知识和模板不能自动变成患者实际诊疗事实。</w:t>
      </w:r>
    </w:p>
    <w:p>
      <w:r>
        <w:br w:type="page"/>
      </w:r>
    </w:p>
    <w:p>
      <w:pPr>
        <w:pStyle w:val="Title"/>
      </w:pPr>
      <w:r>
        <w:t>目录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tabs>
          <w:tab w:pos="8787" w:val="right" w:leader="dot"/>
        </w:tabs>
        <w:spacing w:after="60"/>
      </w:pPr>
      <w:hyperlink w:anchor="sec_0">
        <w:r>
          <w:t>双模式和归属核对</w:t>
        </w:r>
      </w:hyperlink>
      <w:r>
        <w:tab/>
      </w:r>
      <w:fldSimple w:instr="PAGEREF sec_0 \h">
        <w:r>
          <w:t>4</w:t>
        </w:r>
      </w:fldSimple>
    </w:p>
    <w:p>
      <w:pPr>
        <w:tabs>
          <w:tab w:pos="8787" w:val="right" w:leader="dot"/>
        </w:tabs>
        <w:spacing w:after="60"/>
      </w:pPr>
      <w:hyperlink w:anchor="sec_2">
        <w:r>
          <w:t>检查分类与分析规则</w:t>
        </w:r>
      </w:hyperlink>
      <w:r>
        <w:tab/>
      </w:r>
      <w:fldSimple w:instr="PAGEREF sec_2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">
        <w:r>
          <w:t>01 头颅CT</w:t>
        </w:r>
      </w:hyperlink>
      <w:r>
        <w:tab/>
      </w:r>
      <w:fldSimple w:instr="PAGEREF sec_3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6">
        <w:r>
          <w:t>02 头颅增强CT</w:t>
        </w:r>
      </w:hyperlink>
      <w:r>
        <w:tab/>
      </w:r>
      <w:fldSimple w:instr="PAGEREF sec_6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9">
        <w:r>
          <w:t>03 头颅MRI</w:t>
        </w:r>
      </w:hyperlink>
      <w:r>
        <w:tab/>
      </w:r>
      <w:fldSimple w:instr="PAGEREF sec_9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2">
        <w:r>
          <w:t>04 DWI ADC FLAIR SWI</w:t>
        </w:r>
      </w:hyperlink>
      <w:r>
        <w:tab/>
      </w:r>
      <w:fldSimple w:instr="PAGEREF sec_12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5">
        <w:r>
          <w:t>05 CTA</w:t>
        </w:r>
      </w:hyperlink>
      <w:r>
        <w:tab/>
      </w:r>
      <w:fldSimple w:instr="PAGEREF sec_15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8">
        <w:r>
          <w:t>06 MRA</w:t>
        </w:r>
      </w:hyperlink>
      <w:r>
        <w:tab/>
      </w:r>
      <w:fldSimple w:instr="PAGEREF sec_18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1">
        <w:r>
          <w:t>07 DSA</w:t>
        </w:r>
      </w:hyperlink>
      <w:r>
        <w:tab/>
      </w:r>
      <w:fldSimple w:instr="PAGEREF sec_21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4">
        <w:r>
          <w:t>08 CTV MRV</w:t>
        </w:r>
      </w:hyperlink>
      <w:r>
        <w:tab/>
      </w:r>
      <w:fldSimple w:instr="PAGEREF sec_24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7">
        <w:r>
          <w:t>09 脑灌注</w:t>
        </w:r>
      </w:hyperlink>
      <w:r>
        <w:tab/>
      </w:r>
      <w:fldSimple w:instr="PAGEREF sec_27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0">
        <w:r>
          <w:t>10 脑肿瘤高级影像</w:t>
        </w:r>
      </w:hyperlink>
      <w:r>
        <w:tab/>
      </w:r>
      <w:fldSimple w:instr="PAGEREF sec_30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3">
        <w:r>
          <w:t>11 垂体MRI</w:t>
        </w:r>
      </w:hyperlink>
      <w:r>
        <w:tab/>
      </w:r>
      <w:fldSimple w:instr="PAGEREF sec_33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6">
        <w:r>
          <w:t>12 脊柱MRI</w:t>
        </w:r>
      </w:hyperlink>
      <w:r>
        <w:tab/>
      </w:r>
      <w:fldSimple w:instr="PAGEREF sec_36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9">
        <w:r>
          <w:t>13 脊柱CT</w:t>
        </w:r>
      </w:hyperlink>
      <w:r>
        <w:tab/>
      </w:r>
      <w:fldSimple w:instr="PAGEREF sec_39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42">
        <w:r>
          <w:t>14 脊髓血管影像</w:t>
        </w:r>
      </w:hyperlink>
      <w:r>
        <w:tab/>
      </w:r>
      <w:fldSimple w:instr="PAGEREF sec_42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45">
        <w:r>
          <w:t>15 术后影像复查</w:t>
        </w:r>
      </w:hyperlink>
      <w:r>
        <w:tab/>
      </w:r>
      <w:fldSimple w:instr="PAGEREF sec_45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48">
        <w:r>
          <w:t>16 颅骨三维重建</w:t>
        </w:r>
      </w:hyperlink>
      <w:r>
        <w:tab/>
      </w:r>
      <w:fldSimple w:instr="PAGEREF sec_48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51">
        <w:r>
          <w:t>17 血常规</w:t>
        </w:r>
      </w:hyperlink>
      <w:r>
        <w:tab/>
      </w:r>
      <w:fldSimple w:instr="PAGEREF sec_51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54">
        <w:r>
          <w:t>18 凝血功能</w:t>
        </w:r>
      </w:hyperlink>
      <w:r>
        <w:tab/>
      </w:r>
      <w:fldSimple w:instr="PAGEREF sec_54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57">
        <w:r>
          <w:t>19 肝肾功能</w:t>
        </w:r>
      </w:hyperlink>
      <w:r>
        <w:tab/>
      </w:r>
      <w:fldSimple w:instr="PAGEREF sec_57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60">
        <w:r>
          <w:t>20 电解质</w:t>
        </w:r>
      </w:hyperlink>
      <w:r>
        <w:tab/>
      </w:r>
      <w:fldSimple w:instr="PAGEREF sec_60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63">
        <w:r>
          <w:t>21 血糖</w:t>
        </w:r>
      </w:hyperlink>
      <w:r>
        <w:tab/>
      </w:r>
      <w:fldSimple w:instr="PAGEREF sec_63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66">
        <w:r>
          <w:t>22 感染指标</w:t>
        </w:r>
      </w:hyperlink>
      <w:r>
        <w:tab/>
      </w:r>
      <w:fldSimple w:instr="PAGEREF sec_66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69">
        <w:r>
          <w:t>23 血气分析</w:t>
        </w:r>
      </w:hyperlink>
      <w:r>
        <w:tab/>
      </w:r>
      <w:fldSimple w:instr="PAGEREF sec_69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72">
        <w:r>
          <w:t>24 脑脊液常规生化</w:t>
        </w:r>
      </w:hyperlink>
      <w:r>
        <w:tab/>
      </w:r>
      <w:fldSimple w:instr="PAGEREF sec_72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75">
        <w:r>
          <w:t>25 脑脊液病原学</w:t>
        </w:r>
      </w:hyperlink>
      <w:r>
        <w:tab/>
      </w:r>
      <w:fldSimple w:instr="PAGEREF sec_75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78">
        <w:r>
          <w:t>26 ICP及其他监测</w:t>
        </w:r>
      </w:hyperlink>
      <w:r>
        <w:tab/>
      </w:r>
      <w:fldSimple w:instr="PAGEREF sec_78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81">
        <w:r>
          <w:t>27 垂体激素内分泌</w:t>
        </w:r>
      </w:hyperlink>
      <w:r>
        <w:tab/>
      </w:r>
      <w:fldSimple w:instr="PAGEREF sec_81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84">
        <w:r>
          <w:t>28 其他适用检验</w:t>
        </w:r>
      </w:hyperlink>
      <w:r>
        <w:tab/>
      </w:r>
      <w:fldSimple w:instr="PAGEREF sec_84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87">
        <w:r>
          <w:t>29 EEG</w:t>
        </w:r>
      </w:hyperlink>
      <w:r>
        <w:tab/>
      </w:r>
      <w:fldSimple w:instr="PAGEREF sec_87 \h">
        <w:r>
          <w:t>8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90">
        <w:r>
          <w:t>30 视频脑电</w:t>
        </w:r>
      </w:hyperlink>
      <w:r>
        <w:tab/>
      </w:r>
      <w:fldSimple w:instr="PAGEREF sec_90 \h">
        <w:r>
          <w:t>8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93">
        <w:r>
          <w:t>31 术中神经电生理</w:t>
        </w:r>
      </w:hyperlink>
      <w:r>
        <w:tab/>
      </w:r>
      <w:fldSimple w:instr="PAGEREF sec_93 \h">
        <w:r>
          <w:t>8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96">
        <w:r>
          <w:t>32 诱发电位</w:t>
        </w:r>
      </w:hyperlink>
      <w:r>
        <w:tab/>
      </w:r>
      <w:fldSimple w:instr="PAGEREF sec_96 \h">
        <w:r>
          <w:t>8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99">
        <w:r>
          <w:t>33 肌电图</w:t>
        </w:r>
      </w:hyperlink>
      <w:r>
        <w:tab/>
      </w:r>
      <w:fldSimple w:instr="PAGEREF sec_99 \h">
        <w:r>
          <w:t>8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02">
        <w:r>
          <w:t>34 术中冰冻病理</w:t>
        </w:r>
      </w:hyperlink>
      <w:r>
        <w:tab/>
      </w:r>
      <w:fldSimple w:instr="PAGEREF sec_102 \h">
        <w:r>
          <w:t>8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05">
        <w:r>
          <w:t>35 正式石蜡病理</w:t>
        </w:r>
      </w:hyperlink>
      <w:r>
        <w:tab/>
      </w:r>
      <w:fldSimple w:instr="PAGEREF sec_105 \h">
        <w:r>
          <w:t>8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08">
        <w:r>
          <w:t>36 免疫组化</w:t>
        </w:r>
      </w:hyperlink>
      <w:r>
        <w:tab/>
      </w:r>
      <w:fldSimple w:instr="PAGEREF sec_108 \h">
        <w:r>
          <w:t>8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11">
        <w:r>
          <w:t>37 分子病理</w:t>
        </w:r>
      </w:hyperlink>
      <w:r>
        <w:tab/>
      </w:r>
      <w:fldSimple w:instr="PAGEREF sec_111 \h">
        <w:r>
          <w:t>9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14">
        <w:r>
          <w:t>38 脑肿瘤整合诊断</w:t>
        </w:r>
      </w:hyperlink>
      <w:r>
        <w:tab/>
      </w:r>
      <w:fldSimple w:instr="PAGEREF sec_114 \h">
        <w:r>
          <w:t>9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17">
        <w:r>
          <w:t>39 病理影像对应</w:t>
        </w:r>
      </w:hyperlink>
      <w:r>
        <w:tab/>
      </w:r>
      <w:fldSimple w:instr="PAGEREF sec_117 \h">
        <w:r>
          <w:t>9</w:t>
        </w:r>
      </w:fldSimple>
    </w:p>
    <w:p>
      <w:pPr>
        <w:tabs>
          <w:tab w:pos="8787" w:val="right" w:leader="dot"/>
        </w:tabs>
        <w:spacing w:after="60"/>
      </w:pPr>
      <w:hyperlink w:anchor="sec_120">
        <w:r>
          <w:t>动态对比程序</w:t>
        </w:r>
      </w:hyperlink>
      <w:r>
        <w:tab/>
      </w:r>
      <w:fldSimple w:instr="PAGEREF sec_120 \h">
        <w:r>
          <w:t>9</w:t>
        </w:r>
      </w:fldSimple>
    </w:p>
    <w:p>
      <w:pPr>
        <w:tabs>
          <w:tab w:pos="8787" w:val="right" w:leader="dot"/>
        </w:tabs>
        <w:spacing w:after="60"/>
      </w:pPr>
      <w:hyperlink w:anchor="sec_127">
        <w:r>
          <w:t>模拟临床病例</w:t>
        </w:r>
      </w:hyperlink>
      <w:r>
        <w:tab/>
      </w:r>
      <w:fldSimple w:instr="PAGEREF sec_127 \h">
        <w:r>
          <w:t>10</w:t>
        </w:r>
      </w:fldSimple>
    </w:p>
    <w:p>
      <w:pPr>
        <w:tabs>
          <w:tab w:pos="8787" w:val="right" w:leader="dot"/>
        </w:tabs>
        <w:spacing w:after="60"/>
      </w:pPr>
      <w:hyperlink w:anchor="sec_129">
        <w:r>
          <w:t>事实边界与常见错误</w:t>
        </w:r>
      </w:hyperlink>
      <w:r>
        <w:tab/>
      </w:r>
      <w:fldSimple w:instr="PAGEREF sec_129 \h">
        <w:r>
          <w:t>10</w:t>
        </w:r>
      </w:fldSimple>
    </w:p>
    <w:p>
      <w:pPr>
        <w:tabs>
          <w:tab w:pos="8787" w:val="right" w:leader="dot"/>
        </w:tabs>
        <w:spacing w:after="60"/>
      </w:pPr>
      <w:hyperlink w:anchor="sec_132">
        <w:r>
          <w:t>模块联动与最终质控</w:t>
        </w:r>
      </w:hyperlink>
      <w:r>
        <w:tab/>
      </w:r>
      <w:fldSimple w:instr="PAGEREF sec_132 \h">
        <w:r>
          <w:t>10</w:t>
        </w:r>
      </w:fldSimple>
    </w:p>
    <w:p>
      <w:pPr>
        <w:tabs>
          <w:tab w:pos="8787" w:val="right" w:leader="dot"/>
        </w:tabs>
        <w:spacing w:after="60"/>
      </w:pPr>
      <w:hyperlink w:anchor="ref_section">
        <w:r>
          <w:t>参考指南及版本说明</w:t>
        </w:r>
      </w:hyperlink>
      <w:r>
        <w:tab/>
      </w:r>
      <w:fldSimple w:instr="PAGEREF ref_section \h">
        <w:r>
          <w:t>10</w:t>
        </w:r>
      </w:fldSimple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00" w:name="sec_0"/>
      <w:r>
        <w:t>双模式和归属核对</w:t>
      </w:r>
      <w:bookmarkEnd w:id="100"/>
    </w:p>
    <w:p>
      <w:r>
        <w:t>原始报告整理模式：保留检查机构、患者与检查号、采集时间、报告时间、检查所见和诊断意见；用户要求原文时逐字保留，无法辨认标为待核，不能擅改原文。临床分析另列，不混入引文。临床分析模式：提取病变部位范围侧别、占位、血肿中线脑室CSF与脊髓受压及病理意义，保留诊断确定度。影像截图不能代替完整序列与正式报告。</w:t>
      </w:r>
    </w:p>
    <w:p>
      <w:pPr>
        <w:pStyle w:val="Heading1"/>
      </w:pPr>
      <w:bookmarkStart w:id="102" w:name="sec_2"/>
      <w:r>
        <w:t>检查分类与分析规则</w:t>
      </w:r>
      <w:bookmarkEnd w:id="102"/>
    </w:p>
    <w:p>
      <w:pPr>
        <w:pStyle w:val="Heading2"/>
      </w:pPr>
      <w:bookmarkStart w:id="103" w:name="sec_3"/>
      <w:r>
        <w:t>01 头颅CT</w:t>
      </w:r>
      <w:bookmarkEnd w:id="103"/>
    </w:p>
    <w:p>
      <w:r>
        <w:t>提取及临床分析：出血类型、部位侧别、厚度或体积来源、脑室基底池和颅骨；急性高密度不是全部均为新出血。</w:t>
      </w:r>
    </w:p>
    <w:p>
      <w:r>
        <w:t>事实边界与质控：比较同类CT时间和测量法，旧灶钙化伪影及造影剂残留鉴别。</w:t>
      </w:r>
    </w:p>
    <w:p>
      <w:pPr>
        <w:pStyle w:val="Heading2"/>
      </w:pPr>
      <w:bookmarkStart w:id="106" w:name="sec_6"/>
      <w:r>
        <w:t>02 头颅增强CT</w:t>
      </w:r>
      <w:bookmarkEnd w:id="106"/>
    </w:p>
    <w:p>
      <w:r>
        <w:t>提取及临床分析：增强模式、血脑屏障及病灶血供线索，出血与强化分开。</w:t>
      </w:r>
    </w:p>
    <w:p>
      <w:r>
        <w:t>事实边界与质控：有无平扫及对比剂时间；不能据强化定恶性。</w:t>
      </w:r>
    </w:p>
    <w:p>
      <w:pPr>
        <w:pStyle w:val="Heading2"/>
      </w:pPr>
      <w:bookmarkStart w:id="109" w:name="sec_9"/>
      <w:r>
        <w:t>03 头颅MRI</w:t>
      </w:r>
      <w:bookmarkEnd w:id="109"/>
    </w:p>
    <w:p>
      <w:r>
        <w:t>提取及临床分析：病灶脑内外、序列信号、强化、周围水肿和功能区关系。</w:t>
      </w:r>
    </w:p>
    <w:p>
      <w:r>
        <w:t>事实边界与质控：肿瘤浸润与水肿区分，不能直接定病理。</w:t>
      </w:r>
    </w:p>
    <w:p>
      <w:pPr>
        <w:pStyle w:val="Heading2"/>
      </w:pPr>
      <w:bookmarkStart w:id="112" w:name="sec_12"/>
      <w:r>
        <w:t>04 DWI ADC FLAIR SWI</w:t>
      </w:r>
      <w:bookmarkEnd w:id="112"/>
    </w:p>
    <w:p>
      <w:r>
        <w:t>提取及临床分析：DWI高与ADC下降配对分析弥散；FLAIR病灶和CSF异常；SWI磁敏感含血产物静脉钙化鉴别。</w:t>
      </w:r>
    </w:p>
    <w:p>
      <w:r>
        <w:t>事实边界与质控：DWI高不单独等于新梗死；SWI不能单项定出血时相。</w:t>
      </w:r>
    </w:p>
    <w:p>
      <w:pPr>
        <w:pStyle w:val="Heading2"/>
      </w:pPr>
      <w:bookmarkStart w:id="115" w:name="sec_15"/>
      <w:r>
        <w:t>05 CTA</w:t>
      </w:r>
      <w:bookmarkEnd w:id="115"/>
    </w:p>
    <w:p>
      <w:r>
        <w:t>提取及临床分析：动脉段、瘤颈瘤体方向分支、狭窄闭塞、造影质量。</w:t>
      </w:r>
    </w:p>
    <w:p>
      <w:r>
        <w:t>事实边界与质控：阴性不绝对排小瘤；疑责任瘤与出血分布对应。</w:t>
      </w:r>
    </w:p>
    <w:p>
      <w:pPr>
        <w:pStyle w:val="Heading2"/>
      </w:pPr>
      <w:bookmarkStart w:id="118" w:name="sec_18"/>
      <w:r>
        <w:t>06 MRA</w:t>
      </w:r>
      <w:bookmarkEnd w:id="118"/>
    </w:p>
    <w:p>
      <w:r>
        <w:t>提取及临床分析：血管形态与流动伪影、扫描技术和可见范围。</w:t>
      </w:r>
    </w:p>
    <w:p>
      <w:r>
        <w:t>事实边界与质控：慢血流信号缺失不直接等于完全闭塞。</w:t>
      </w:r>
    </w:p>
    <w:p>
      <w:pPr>
        <w:pStyle w:val="Heading2"/>
      </w:pPr>
      <w:bookmarkStart w:id="121" w:name="sec_21"/>
      <w:r>
        <w:t>07 DSA</w:t>
      </w:r>
      <w:bookmarkEnd w:id="121"/>
    </w:p>
    <w:p>
      <w:r>
        <w:t>提取及临床分析：检查时间、选择性血管、病变及动态引流，实际术者意见。</w:t>
      </w:r>
    </w:p>
    <w:p>
      <w:r>
        <w:t>事实边界与质控：诊断性DSA与治疗分开，未造影血管不写正常。</w:t>
      </w:r>
    </w:p>
    <w:p>
      <w:pPr>
        <w:pStyle w:val="Heading2"/>
      </w:pPr>
      <w:bookmarkStart w:id="124" w:name="sec_24"/>
      <w:r>
        <w:t>08 CTV MRV</w:t>
      </w:r>
      <w:bookmarkEnd w:id="124"/>
    </w:p>
    <w:p>
      <w:r>
        <w:t>提取及临床分析：窦或静脉位置、充盈缺损和侧支，引流与脑水肿出血关系。</w:t>
      </w:r>
    </w:p>
    <w:p>
      <w:r>
        <w:t>事实边界与质控：低发育、流速与血栓鉴别；单次异常不直接确诊。</w:t>
      </w:r>
    </w:p>
    <w:p>
      <w:pPr>
        <w:pStyle w:val="Heading2"/>
      </w:pPr>
      <w:bookmarkStart w:id="127" w:name="sec_27"/>
      <w:r>
        <w:t>09 脑灌注</w:t>
      </w:r>
      <w:bookmarkEnd w:id="127"/>
    </w:p>
    <w:p>
      <w:r>
        <w:t>提取及临床分析：模态、CBF CBV MTT Tmax等真实指标、区域及检查条件。</w:t>
      </w:r>
    </w:p>
    <w:p>
      <w:r>
        <w:t>事实边界与质控：参数受算法血压和时相影响；不自动把异常转为手术阈值。</w:t>
      </w:r>
    </w:p>
    <w:p>
      <w:pPr>
        <w:pStyle w:val="Heading2"/>
      </w:pPr>
      <w:bookmarkStart w:id="130" w:name="sec_30"/>
      <w:r>
        <w:t>10 脑肿瘤高级影像</w:t>
      </w:r>
      <w:bookmarkEnd w:id="130"/>
    </w:p>
    <w:p>
      <w:r>
        <w:t>提取及临床分析：灌注波谱DTI功能MRI或PET实际结果、白质和功能区关系。</w:t>
      </w:r>
    </w:p>
    <w:p>
      <w:r>
        <w:t>事实边界与质控：影像生物标志只支持可能性质；不能编分子分型。</w:t>
      </w:r>
    </w:p>
    <w:p>
      <w:pPr>
        <w:pStyle w:val="Heading2"/>
      </w:pPr>
      <w:bookmarkStart w:id="133" w:name="sec_33"/>
      <w:r>
        <w:t>11 垂体MRI</w:t>
      </w:r>
      <w:bookmarkEnd w:id="133"/>
    </w:p>
    <w:p>
      <w:r>
        <w:t>提取及临床分析：鞍内鞍上、视交叉海绵窦颈内动脉、垂体柄及囊变出血。</w:t>
      </w:r>
    </w:p>
    <w:p>
      <w:r>
        <w:t>事实边界与质控：Knosp等分级需要完整图像和标准，不能据大腺瘤自动侵袭。</w:t>
      </w:r>
    </w:p>
    <w:p>
      <w:pPr>
        <w:pStyle w:val="Heading2"/>
      </w:pPr>
      <w:bookmarkStart w:id="136" w:name="sec_36"/>
      <w:r>
        <w:t>12 脊柱MRI</w:t>
      </w:r>
      <w:bookmarkEnd w:id="136"/>
    </w:p>
    <w:p>
      <w:r>
        <w:t>提取及临床分析：椎体节段与脊髓节段、髓内/髓外硬膜内/硬膜外、压迫水肿空洞。</w:t>
      </w:r>
    </w:p>
    <w:p>
      <w:r>
        <w:t>事实边界与质控：影像退变需与责任根和神经平面对应。</w:t>
      </w:r>
    </w:p>
    <w:p>
      <w:pPr>
        <w:pStyle w:val="Heading2"/>
      </w:pPr>
      <w:bookmarkStart w:id="139" w:name="sec_39"/>
      <w:r>
        <w:t>13 脊柱CT</w:t>
      </w:r>
      <w:bookmarkEnd w:id="139"/>
    </w:p>
    <w:p>
      <w:r>
        <w:t>提取及临床分析：骨性结构、椎管占位、骨破坏内固定位置。</w:t>
      </w:r>
    </w:p>
    <w:p>
      <w:r>
        <w:t>事实边界与质控：固定良好需影像支持，不能替代脊髓软组织MRI。</w:t>
      </w:r>
    </w:p>
    <w:p>
      <w:pPr>
        <w:pStyle w:val="Heading2"/>
      </w:pPr>
      <w:bookmarkStart w:id="142" w:name="sec_42"/>
      <w:r>
        <w:t>14 脊髓血管影像</w:t>
      </w:r>
      <w:bookmarkEnd w:id="142"/>
    </w:p>
    <w:p>
      <w:r>
        <w:t>提取及临床分析：供血动脉、瘘口畸形团与引流，选择性检查范围。</w:t>
      </w:r>
    </w:p>
    <w:p>
      <w:r>
        <w:t>事实边界与质控：未完成全范围检查不能宣称排除所有瘘。</w:t>
      </w:r>
    </w:p>
    <w:p>
      <w:pPr>
        <w:pStyle w:val="Heading2"/>
      </w:pPr>
      <w:bookmarkStart w:id="145" w:name="sec_45"/>
      <w:r>
        <w:t>15 术后影像复查</w:t>
      </w:r>
      <w:bookmarkEnd w:id="145"/>
    </w:p>
    <w:p>
      <w:r>
        <w:t>提取及临床分析：残余血肿、术腔、气颅、局部缺血、水肿占位、脑室及导管位置。</w:t>
      </w:r>
    </w:p>
    <w:p>
      <w:r>
        <w:t>事实边界与质控：术后改变与并发症分层，未复查不写改善。</w:t>
      </w:r>
    </w:p>
    <w:p>
      <w:pPr>
        <w:pStyle w:val="Heading2"/>
      </w:pPr>
      <w:bookmarkStart w:id="148" w:name="sec_48"/>
      <w:r>
        <w:t>16 颅骨三维重建</w:t>
      </w:r>
      <w:bookmarkEnd w:id="148"/>
    </w:p>
    <w:p>
      <w:r>
        <w:t>提取及临床分析：骨缺损范围形态、骨瓣或修补材料位置、骨折与颅底关系。</w:t>
      </w:r>
    </w:p>
    <w:p>
      <w:r>
        <w:t>事实边界与质控：成形术设计计划与实际植入不混。</w:t>
      </w:r>
    </w:p>
    <w:p>
      <w:pPr>
        <w:pStyle w:val="Heading2"/>
      </w:pPr>
      <w:bookmarkStart w:id="151" w:name="sec_51"/>
      <w:r>
        <w:t>17 血常规</w:t>
      </w:r>
      <w:bookmarkEnd w:id="151"/>
    </w:p>
    <w:p>
      <w:r>
        <w:t>提取及临床分析：血红蛋白血小板白细胞趋势、采样时间、输血或激素影响。</w:t>
      </w:r>
    </w:p>
    <w:p>
      <w:r>
        <w:t>事实边界与质控：单纯白细胞高不定感染，不能混不同样本。</w:t>
      </w:r>
    </w:p>
    <w:p>
      <w:pPr>
        <w:pStyle w:val="Heading2"/>
      </w:pPr>
      <w:bookmarkStart w:id="154" w:name="sec_54"/>
      <w:r>
        <w:t>18 凝血功能</w:t>
      </w:r>
      <w:bookmarkEnd w:id="154"/>
    </w:p>
    <w:p>
      <w:r>
        <w:t>提取及临床分析：PT INR APTT纤维蛋白原血小板及抗栓暴露。</w:t>
      </w:r>
    </w:p>
    <w:p>
      <w:r>
        <w:t>事实边界与质控：正常常规凝血不能排除全部DOAC或抗血小板效应。</w:t>
      </w:r>
    </w:p>
    <w:p>
      <w:pPr>
        <w:pStyle w:val="Heading2"/>
      </w:pPr>
      <w:bookmarkStart w:id="157" w:name="sec_57"/>
      <w:r>
        <w:t>19 肝肾功能</w:t>
      </w:r>
      <w:bookmarkEnd w:id="157"/>
    </w:p>
    <w:p>
      <w:r>
        <w:t>提取及临床分析：肌酐估算方法、尿量肝酶胆红素与药物造影风险。</w:t>
      </w:r>
    </w:p>
    <w:p>
      <w:r>
        <w:t>事实边界与质控：透析或急变时不机械用单值调药。</w:t>
      </w:r>
    </w:p>
    <w:p>
      <w:pPr>
        <w:pStyle w:val="Heading2"/>
      </w:pPr>
      <w:bookmarkStart w:id="160" w:name="sec_60"/>
      <w:r>
        <w:t>20 电解质</w:t>
      </w:r>
      <w:bookmarkEnd w:id="160"/>
    </w:p>
    <w:p>
      <w:r>
        <w:t>提取及临床分析：钠钾氯钙镁及连续趋势、采样和补液影响。</w:t>
      </w:r>
    </w:p>
    <w:p>
      <w:r>
        <w:t>事实边界与质控：低钠需容量、血尿渗透及激素，不能单值判SIADH/CSW。</w:t>
      </w:r>
    </w:p>
    <w:p>
      <w:pPr>
        <w:pStyle w:val="Heading2"/>
      </w:pPr>
      <w:bookmarkStart w:id="163" w:name="sec_63"/>
      <w:r>
        <w:t>21 血糖</w:t>
      </w:r>
      <w:bookmarkEnd w:id="163"/>
    </w:p>
    <w:p>
      <w:r>
        <w:t>提取及临床分析：时点、进食营养及胰岛素执行与低血糖症状。</w:t>
      </w:r>
    </w:p>
    <w:p>
      <w:r>
        <w:t>事实边界与质控：不能由一次高值诊断慢性糖尿病。</w:t>
      </w:r>
    </w:p>
    <w:p>
      <w:pPr>
        <w:pStyle w:val="Heading2"/>
      </w:pPr>
      <w:bookmarkStart w:id="166" w:name="sec_66"/>
      <w:r>
        <w:t>22 感染指标</w:t>
      </w:r>
      <w:bookmarkEnd w:id="166"/>
    </w:p>
    <w:p>
      <w:r>
        <w:t>提取及临床分析：体温CRP PCT培养时点与抗菌暴露，多部位寻找感染源。</w:t>
      </w:r>
    </w:p>
    <w:p>
      <w:r>
        <w:t>事实边界与质控：炎症反应不等于颅内感染确诊。</w:t>
      </w:r>
    </w:p>
    <w:p>
      <w:pPr>
        <w:pStyle w:val="Heading2"/>
      </w:pPr>
      <w:bookmarkStart w:id="169" w:name="sec_69"/>
      <w:r>
        <w:t>23 血气分析</w:t>
      </w:r>
      <w:bookmarkEnd w:id="169"/>
    </w:p>
    <w:p>
      <w:r>
        <w:t>提取及临床分析：采样类型、FiO2和呼吸支持、pH PaCO2氧合乳酸。</w:t>
      </w:r>
    </w:p>
    <w:p>
      <w:r>
        <w:t>事实边界与质控：未给FiO2不算氧合指数，静脉氧分压不冒充动脉。</w:t>
      </w:r>
    </w:p>
    <w:p>
      <w:pPr>
        <w:pStyle w:val="Heading2"/>
      </w:pPr>
      <w:bookmarkStart w:id="172" w:name="sec_72"/>
      <w:r>
        <w:t>24 脑脊液常规生化</w:t>
      </w:r>
      <w:bookmarkEnd w:id="172"/>
    </w:p>
    <w:p>
      <w:r>
        <w:t>提取及临床分析：取样部位时间、细胞分类RBC蛋白糖氯及同期血糖。</w:t>
      </w:r>
    </w:p>
    <w:p>
      <w:r>
        <w:t>事实边界与质控：血性污染和术后炎症可干扰；腰穿先评脑疝梗阻及出血风险。</w:t>
      </w:r>
    </w:p>
    <w:p>
      <w:pPr>
        <w:pStyle w:val="Heading2"/>
      </w:pPr>
      <w:bookmarkStart w:id="175" w:name="sec_75"/>
      <w:r>
        <w:t>25 脑脊液病原学</w:t>
      </w:r>
      <w:bookmarkEnd w:id="175"/>
    </w:p>
    <w:p>
      <w:r>
        <w:t>提取及临床分析：培养涂片PCR mNGS种类、取材和抗菌前后、污染可能。</w:t>
      </w:r>
    </w:p>
    <w:p>
      <w:r>
        <w:t>事实边界与质控：检出不总等感染；抗菌后阴性不能排除。</w:t>
      </w:r>
    </w:p>
    <w:p>
      <w:pPr>
        <w:pStyle w:val="Heading2"/>
      </w:pPr>
      <w:bookmarkStart w:id="178" w:name="sec_78"/>
      <w:r>
        <w:t>26 ICP及其他监测</w:t>
      </w:r>
      <w:bookmarkEnd w:id="178"/>
    </w:p>
    <w:p>
      <w:r>
        <w:t>提取及临床分析：设备类型、在位、调零参考点、模式和引流开放状态、波形持续时间。</w:t>
      </w:r>
    </w:p>
    <w:p>
      <w:r>
        <w:t>事实边界与质控：孤立值不替代趋势；MAP与ICP须时间一致且参考水平相容才谈CPP。</w:t>
      </w:r>
    </w:p>
    <w:p>
      <w:pPr>
        <w:pStyle w:val="Heading2"/>
      </w:pPr>
      <w:bookmarkStart w:id="181" w:name="sec_81"/>
      <w:r>
        <w:t>27 垂体激素内分泌</w:t>
      </w:r>
      <w:bookmarkEnd w:id="181"/>
    </w:p>
    <w:p>
      <w:r>
        <w:t>提取及临床分析：皮质醇ACTH FT4 TSH PRL GH IGF1性腺轴、采样时点和激素用药。</w:t>
      </w:r>
    </w:p>
    <w:p>
      <w:r>
        <w:t>事实边界与质控：TSH正常不能排中枢甲减；外源激素影响判读。</w:t>
      </w:r>
    </w:p>
    <w:p>
      <w:pPr>
        <w:pStyle w:val="Heading2"/>
      </w:pPr>
      <w:bookmarkStart w:id="184" w:name="sec_84"/>
      <w:r>
        <w:t>28 其他适用检验</w:t>
      </w:r>
      <w:bookmarkEnd w:id="184"/>
    </w:p>
    <w:p>
      <w:r>
        <w:t>提取及临床分析：血培养渗透压药物浓度肿瘤相关检测依本例问题。</w:t>
      </w:r>
    </w:p>
    <w:p>
      <w:r>
        <w:t>事实边界与质控：引用本实验室方法和参考区间，不补通用正常值。</w:t>
      </w:r>
    </w:p>
    <w:p>
      <w:pPr>
        <w:pStyle w:val="Heading2"/>
      </w:pPr>
      <w:bookmarkStart w:id="187" w:name="sec_87"/>
      <w:r>
        <w:t>29 EEG</w:t>
      </w:r>
      <w:bookmarkEnd w:id="187"/>
    </w:p>
    <w:p>
      <w:r>
        <w:t>提取及临床分析：背景、局灶/弥漫异常、癫痫样放电及电临床对应。</w:t>
      </w:r>
    </w:p>
    <w:p>
      <w:r>
        <w:t>事实边界与质控：正常短程EEG不能排癫痫；异常不等于实际发作。</w:t>
      </w:r>
    </w:p>
    <w:p>
      <w:pPr>
        <w:pStyle w:val="Heading2"/>
      </w:pPr>
      <w:bookmarkStart w:id="190" w:name="sec_90"/>
      <w:r>
        <w:t>30 视频脑电</w:t>
      </w:r>
      <w:bookmarkEnd w:id="190"/>
    </w:p>
    <w:p>
      <w:r>
        <w:t>提取及临床分析：事件视频、症状、发作起始区和传播的时间对应。</w:t>
      </w:r>
    </w:p>
    <w:p>
      <w:r>
        <w:t>事实边界与质控：发作起始区不自动等于完整致痫区。</w:t>
      </w:r>
    </w:p>
    <w:p>
      <w:pPr>
        <w:pStyle w:val="Heading2"/>
      </w:pPr>
      <w:bookmarkStart w:id="193" w:name="sec_93"/>
      <w:r>
        <w:t>31 术中神经电生理</w:t>
      </w:r>
      <w:bookmarkEnd w:id="193"/>
    </w:p>
    <w:p>
      <w:r>
        <w:t>提取及临床分析：模态基线、麻醉体温等干扰、变化时刻、术者处置和恢复。</w:t>
      </w:r>
    </w:p>
    <w:p>
      <w:r>
        <w:t>事实边界与质控：未监测不填信号稳定；信号变化不直接等永久损伤。</w:t>
      </w:r>
    </w:p>
    <w:p>
      <w:pPr>
        <w:pStyle w:val="Heading2"/>
      </w:pPr>
      <w:bookmarkStart w:id="196" w:name="sec_96"/>
      <w:r>
        <w:t>32 诱发电位</w:t>
      </w:r>
      <w:bookmarkEnd w:id="196"/>
    </w:p>
    <w:p>
      <w:r>
        <w:t>提取及临床分析：模态侧别潜伏期振幅和检测条件。</w:t>
      </w:r>
    </w:p>
    <w:p>
      <w:r>
        <w:t>事实边界与质控：需具体神经通路及左右比较，不能泛称神经正常。</w:t>
      </w:r>
    </w:p>
    <w:p>
      <w:pPr>
        <w:pStyle w:val="Heading2"/>
      </w:pPr>
      <w:bookmarkStart w:id="199" w:name="sec_99"/>
      <w:r>
        <w:t>33 肌电图</w:t>
      </w:r>
      <w:bookmarkEnd w:id="199"/>
    </w:p>
    <w:p>
      <w:r>
        <w:t>提取及临床分析：神经传导针极所见、受累神经根丛分布及病程时相。</w:t>
      </w:r>
    </w:p>
    <w:p>
      <w:r>
        <w:t>事实边界与质控：早期阴性不排损伤；按检测者原结论分层。</w:t>
      </w:r>
    </w:p>
    <w:p>
      <w:pPr>
        <w:pStyle w:val="Heading2"/>
      </w:pPr>
      <w:bookmarkStart w:id="202" w:name="sec_102"/>
      <w:r>
        <w:t>34 术中冰冻病理</w:t>
      </w:r>
      <w:bookmarkEnd w:id="202"/>
    </w:p>
    <w:p>
      <w:r>
        <w:t>提取及临床分析：标本号部位、取材范围及快速初步意见。</w:t>
      </w:r>
    </w:p>
    <w:p>
      <w:r>
        <w:t>事实边界与质控：不能当正式分级与分子整合。</w:t>
      </w:r>
    </w:p>
    <w:p>
      <w:pPr>
        <w:pStyle w:val="Heading2"/>
      </w:pPr>
      <w:bookmarkStart w:id="205" w:name="sec_105"/>
      <w:r>
        <w:t>35 正式石蜡病理</w:t>
      </w:r>
      <w:bookmarkEnd w:id="205"/>
    </w:p>
    <w:p>
      <w:r>
        <w:t>提取及临床分析：患者标本来源手术与病灶一致性，组织学命名和级别。</w:t>
      </w:r>
    </w:p>
    <w:p>
      <w:r>
        <w:t>事实边界与质控：复发肿瘤旧片不能冒充本次标本。</w:t>
      </w:r>
    </w:p>
    <w:p>
      <w:pPr>
        <w:pStyle w:val="Heading2"/>
      </w:pPr>
      <w:bookmarkStart w:id="208" w:name="sec_108"/>
      <w:r>
        <w:t>36 免疫组化</w:t>
      </w:r>
      <w:bookmarkEnd w:id="208"/>
    </w:p>
    <w:p>
      <w:r>
        <w:t>提取及临床分析：已测标记、阳性范围和病理科解释。</w:t>
      </w:r>
    </w:p>
    <w:p>
      <w:r>
        <w:t>事实边界与质控：单个标记不自动代表整套分子检测。</w:t>
      </w:r>
    </w:p>
    <w:p>
      <w:pPr>
        <w:pStyle w:val="Heading2"/>
      </w:pPr>
      <w:bookmarkStart w:id="211" w:name="sec_111"/>
      <w:r>
        <w:t>37 分子病理</w:t>
      </w:r>
      <w:bookmarkEnd w:id="211"/>
    </w:p>
    <w:p>
      <w:r>
        <w:t>提取及临床分析：具体基因或染色体方法、结果原文、失败未测待回分开。</w:t>
      </w:r>
    </w:p>
    <w:p>
      <w:r>
        <w:t>事实边界与质控：IDH 1p/19q MGMT各自意义不同，不能相互替代。</w:t>
      </w:r>
    </w:p>
    <w:p>
      <w:pPr>
        <w:pStyle w:val="Heading2"/>
      </w:pPr>
      <w:bookmarkStart w:id="214" w:name="sec_114"/>
      <w:r>
        <w:t>38 脑肿瘤整合诊断</w:t>
      </w:r>
      <w:bookmarkEnd w:id="214"/>
    </w:p>
    <w:p>
      <w:r>
        <w:t>提取及临床分析：按正式组织和必要分子结果及WHO版本整合。</w:t>
      </w:r>
    </w:p>
    <w:p>
      <w:r>
        <w:t>事实边界与质控：NOS与NEC的适用须病理科确认，不能用缺项填已确诊亚型。</w:t>
      </w:r>
    </w:p>
    <w:p>
      <w:pPr>
        <w:pStyle w:val="Heading2"/>
      </w:pPr>
      <w:bookmarkStart w:id="217" w:name="sec_117"/>
      <w:r>
        <w:t>39 病理影像对应</w:t>
      </w:r>
      <w:bookmarkEnd w:id="217"/>
    </w:p>
    <w:p>
      <w:r>
        <w:t>提取及临床分析：标本病灶ID、部位、影像与组织不符原因和复核计划。</w:t>
      </w:r>
    </w:p>
    <w:p>
      <w:r>
        <w:t>事实边界与质控：多发病灶不默认同病理；不符不静默选一覆盖另一。</w:t>
      </w:r>
    </w:p>
    <w:p>
      <w:pPr>
        <w:pStyle w:val="Heading1"/>
      </w:pPr>
      <w:bookmarkStart w:id="220" w:name="sec_120"/>
      <w:r>
        <w:t>动态对比程序</w:t>
      </w:r>
      <w:bookmarkEnd w:id="220"/>
    </w:p>
    <w:p>
      <w:r>
        <w:t>先确认同患者同病灶，再确认两次检查时间和可获知时间、序列层面与量法可比。报告仅“较前”而未给前次日期时不能自行填日期。ABC/2等估算仅在形态适合且A/B/C来自真实测量时使用并标注估算；不规则多灶或术后腔体不强用。不能把不同时间的血肿、水肿与脑室描述拼成一次CT。</w:t>
      </w:r>
    </w:p>
    <w:p>
      <w:r>
        <w:t>以下结构模板中的变量只允许用本例真实资料替换；本文件各模板均遵守此规则，正式输出前删除全部未填变量。</w:t>
      </w:r>
    </w:p>
    <w:p>
      <w:pPr>
        <w:keepNext/>
      </w:pPr>
      <w:r>
        <w:t>【记录日期时间】 检查结果原文整理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检查机构及检查号：【原文】</w:t>
      </w:r>
    </w:p>
    <w:p>
      <w:pPr>
        <w:pStyle w:val="MedicalCode"/>
        <w:keepLines w:val="0"/>
      </w:pPr>
      <w:r>
        <w:t>检查采集及报告时间：【原文】</w:t>
      </w:r>
    </w:p>
    <w:p>
      <w:pPr>
        <w:pStyle w:val="MedicalCode"/>
        <w:keepLines w:val="0"/>
      </w:pPr>
      <w:r>
        <w:t>检查所见：【逐字核实内容】</w:t>
      </w:r>
    </w:p>
    <w:p>
      <w:pPr>
        <w:pStyle w:val="MedicalCode"/>
        <w:keepLines w:val="0"/>
      </w:pPr>
      <w:r>
        <w:t>诊断意见：【逐字核实内容】</w:t>
      </w:r>
    </w:p>
    <w:p>
      <w:pPr>
        <w:pStyle w:val="MedicalCode"/>
        <w:keepLines w:val="0"/>
      </w:pPr>
      <w:r>
        <w:t>```</w:t>
      </w:r>
    </w:p>
    <w:p>
      <w:pPr>
        <w:keepNext/>
      </w:pPr>
      <w:r>
        <w:t>【记录日期时间】 辅助检查临床分析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【日期及检查】显示【部位侧别和关键所见】。与【可比较日期检查】相比【真实变化及测量限制】，提示【证据级别内的临床意义】。结合【神经功能及治疗阶段】，需关注【本例占位缺血脑积水或其他问题】，后续【实际医师复查或处理计划】。</w:t>
      </w:r>
    </w:p>
    <w:p>
      <w:pPr>
        <w:pStyle w:val="MedicalCode"/>
        <w:keepLines w:val="0"/>
      </w:pPr>
      <w:r>
        <w:t>```</w:t>
      </w:r>
    </w:p>
    <w:p>
      <w:pPr>
        <w:pStyle w:val="Heading1"/>
      </w:pPr>
      <w:bookmarkStart w:id="227" w:name="sec_127"/>
      <w:r>
        <w:t>模拟临床病例</w:t>
      </w:r>
      <w:bookmarkEnd w:id="227"/>
    </w:p>
    <w:p>
      <w:r>
        <w:t>SIM-IMG-01：10-24 CT右额血肿，10-26 MRI右额术腔边缘DWI高ADC低，10-27分子报告尚待回。10-26病程可分析术区弥散受限需区分缺血与操作相关改变，不可宣布血肿扩大或IDH野生型；MRI不能倒写成10-24已知。</w:t>
      </w:r>
    </w:p>
    <w:p>
      <w:pPr>
        <w:pStyle w:val="Heading1"/>
      </w:pPr>
      <w:bookmarkStart w:id="229" w:name="sec_129"/>
      <w:r>
        <w:t>事实边界与常见错误</w:t>
      </w:r>
      <w:bookmarkEnd w:id="229"/>
    </w:p>
    <w:p>
      <w:r>
        <w:t>查体未提供时不填正常；拟行、医嘱、实际执行分开；术者记录、麻醉记录、护理装置记录和影像报告按各自事实领域核对。冲突不以信息较新或职称较高自动消除。模拟病例全部使用虚构编号，不可存入真实患者状态。</w:t>
      </w:r>
    </w:p>
    <w:p>
      <w:r>
        <w:t>本模块所有正式输出遵守01。结构模板中的【字段】只用于规则演示，不是患者事实。不得生成医师实际未说过的查房意见、实际未开展的讨论或知情沟通；可在框外提供待医师确认的分析建议。</w:t>
      </w:r>
    </w:p>
    <w:p>
      <w:pPr>
        <w:pStyle w:val="Heading1"/>
      </w:pPr>
      <w:bookmarkStart w:id="232" w:name="sec_132"/>
      <w:r>
        <w:t>模块联动与最终质控</w:t>
      </w:r>
      <w:bookmarkEnd w:id="232"/>
    </w:p>
    <w:p>
      <w:r>
        <w:t>由00进入，01约束，11绑定患者及住院事件后调用04；需要的通用或专病模块只按当前任务加载。输出前交10核对身份、解剖侧别、证据程度、手术与装置事件、时序、用药执行及代码框；严重冲突阻断净稿，紧急评估提示不受阻断。</w:t>
      </w:r>
    </w:p>
    <w:p>
      <w:pPr>
        <w:pStyle w:val="Heading1"/>
      </w:pPr>
      <w:bookmarkStart w:id="90000" w:name="ref_section"/>
      <w:r>
        <w:t>参考指南及版本说明</w:t>
      </w:r>
      <w:bookmarkEnd w:id="90000"/>
    </w:p>
    <w:p>
      <w:r>
        <w:t>核验日为2026年10月26日。下列来源按实际可访问层级列示；目录摘要核验不等于全文推荐核验。未核实的分值界限、给药剂量、引流设置和手术阈值不由本库自动补入；先使用本院经批准且已核对版本的规范。中国制度和国际指南分别标注适用人群，不能混合成统一自动医嘱。旧版保留用于解释历史记录，不称最新版。</w:t>
      </w:r>
    </w:p>
    <w:p>
      <w:r>
        <w:t>[R01] 病历书写基本规范 卫医政发〔2010〕11号。发布机构：原卫生部；年份/版本：2010；核验日期：2026年10月26日。适用范围：客观真实、栏目、记录时限及签名；执行前同时核对本院现行制度。核验层级：官方页面与可检索条文已核验；不是2002试行版。来源：https://www.nhc.gov.cn/wjw/c100175/201002/b1bec53d90f243e0861529723f00221a.shtml</w:t>
      </w:r>
    </w:p>
    <w:p>
      <w:r>
        <w:t>[R02] 医疗质量安全核心制度要点 国卫医发〔2018〕8号。发布机构：国家卫生健康委员会；年份/版本：2018；核验日期：2026年10月26日。适用范围：三级查房、会诊、术前讨论、抢救、手术安全、病历及信息管理。核验层级：官方解读已核验。来源：https://www.nhc.gov.cn/zwgk/jdjd/201804/5dfb30387c74412194c7f05b878d4f87.shtml</w:t>
      </w:r>
    </w:p>
    <w:p>
      <w:r>
        <w:t>[R03] 电子病历应用管理规范 试行 国卫办医发〔2017〕8号。发布机构：原国家卫生计生委 国家中医药管理局；年份/版本：2017；核验日期：2026年10月26日。适用范围：电子病历权限、审签、修改留痕和管理。核验层级：官网全文或原始指南页面已核验。来源：https://www.nhc.gov.cn/wjw/c100175/201702/90f3de8ae03d488cbddf509dc958f75b.shtml</w:t>
      </w:r>
    </w:p>
    <w:p>
      <w:r>
        <w:t>[N01] Central Nervous System Tumours WHO Classification Fifth Edition Volume 6。发布机构：WHO Classification of Tumours Editorial Board IARC；年份/版本：2021；核验日期：2026年10月26日。适用范围：CNS肿瘤组织学分子整合命名；官网勘误与在线更新需同查。核验层级：官方版本页面及勘误入口核验；未声称无后续更新。来源：https://publications.iarc.who.int/601</w:t>
      </w:r>
    </w:p>
    <w:p>
      <w:r>
        <w:t>[G01] Glasgow Coma Scale Assessment Aid and FAQ。发布机构：Institute of Neurological Sciences Glasgow GCS官方项目；年份/版本：2017评估表/官网FAQ；核验日期：2026年10月26日。适用范围：E V M分项和NT限制；语言无法评估不强制赋1分。核验层级：官网全文或原始指南页面已核验。来源：https://www.glasgowcomascale.org/faq/</w:t>
      </w:r>
    </w:p>
    <w:p>
      <w:r>
        <w:t>[C04] 2023 Guideline for the Management of Patients With Aneurysmal Subarachnoid Hemorrhage。发布机构：AHA/ASA；年份/版本：2023；核验日期：2026年10月26日。适用范围：动脉瘤性SAH；DCI与血管痉挛区分、早期瘤体处理和多学科策略。核验层级：官网全文或原始指南页面已核验。来源：https://www.ahajournals.org/doi/pdf/10.1161/STR.0000000000000436</w:t>
      </w:r>
    </w:p>
    <w:p>
      <w:r>
        <w:t>[C05] 2022 Guideline for the Management of Patients With Spontaneous Intracerebral Hemorrhage。发布机构：AHA/ASA；年份/版本：2022；核验日期：2026年10月26日。适用范围：成人自发性脑出血；不能用于创伤、肿瘤出血或已知结构性病因的全部决策。核验层级：官网全文或原始指南页面已核验。来源：https://www.ahajournals.org/doi/10.1161/STR.0000000000000407</w:t>
      </w:r>
    </w:p>
    <w:p>
      <w:r>
        <w:t>[H01] 神经外科重症患者脑脊液外引流管理专家共识 2026版。发布机构：中华医学会神经外科学分会 中国神经外科重症管理协作组；年份/版本：2026；核验日期：2026年10月26日。适用范围：EVD和LD适用范围、留置管理与并发症；DOI 10.3760/cma.j.cn112137-20251114-02966。核验层级：原期刊目录摘要核验；全文参数未逐条核验，不沿用2018固定设置。来源：https://bi-dmp-cs.yiigle.com/cn/WEB-INF/toc/72615</w:t>
      </w:r>
    </w:p>
    <w:p>
      <w:r>
        <w:t>[H02] 神经外科术后颅内感染诊治专家共识 2026版。发布机构：中华医学会神经外科学分会 中国神经外科重症管理协作组 北京医学会神经外科学分会；年份/版本：2026；核验日期：2026年10月26日。适用范围：术后颅内感染的证据和综合管理；DOI 10.3760/cma.j.cn112137-20260329-00837。核验层级：原期刊摘要和DOI核验；不据摘要编写抗菌药具体剂量。来源：https://uatwk.yiigle.com/cn/CN113904201206/toc/72938</w:t>
      </w:r>
    </w:p>
    <w:p>
      <w:r>
        <w:t>[H03] Clinical Practice Guidelines for Healthcare Associated Ventriculitis and Meningitis。发布机构：IDSA；年份/版本：2017；核验日期：2026年10月26日。适用范围：医源性脑室炎脑膜炎与装置感染；非社区获得性感染通用替代方案。核验层级：官网全文或原始指南页面已核验。来源：https://www.idsociety.org/practice-guideline/healthcare-associated-ventriculitis-and-meningitis/</w:t>
      </w:r>
    </w:p>
    <w:p>
      <w:r>
        <w:t>[S01] Hormone Replacement in Hypopituitarism in Adults。发布机构：Endocrine Society；年份/版本：2016；核验日期：2026年10月26日。适用范围：成人垂体功能减退、围术期激素评估，不作为儿童剂量依据。核验层级：官网全文或原始指南页面已核验。来源：https://www.endocrine.org/clinical-practice-guidelines/hormone-replacement-in-hypopituitarism</w:t>
      </w:r>
    </w:p>
    <w:sectPr w:rsidR="00FC693F" w:rsidRPr="0006063C" w:rsidSect="00034616">
      <w:footerReference w:type="default" r:id="rId9"/>
      <w:pgSz w:w="11906" w:h="16838"/>
      <w:pgMar w:top="1304" w:right="1247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神经外科AI病历书写系统 V1.0  04  |  </w:t>
    </w:r>
    <w:fldSimple w:instr="PAGE">
      <w:r>
        <w:t>1</w:t>
      </w:r>
    </w:fldSimple>
    <w:r>
      <w:t xml:space="preserve"> / </w:t>
    </w:r>
    <w:fldSimple w:instr="NUMPAGES">
      <w:r>
        <w:t>12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8" w:lineRule="auto"/>
    </w:pPr>
    <w:rPr>
      <w:rFonts w:ascii="Arial" w:hAnsi="Arial" w:eastAsia="Songti SC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8" w:lineRule="auto"/>
      <w:outlineLvl w:val="0"/>
    </w:pPr>
    <w:rPr>
      <w:rFonts w:ascii="Arial" w:hAnsi="Arial" w:eastAsia="Hiragino Sans GB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="Arial" w:hAnsi="Arial" w:eastAsia="Hiragino Sans GB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</w:pPr>
    <w:rPr>
      <w:rFonts w:ascii="Arial" w:hAnsi="Arial" w:eastAsia="Hiragino Sans GB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8" w:lineRule="auto"/>
      <w:contextualSpacing/>
    </w:pPr>
    <w:rPr>
      <w:rFonts w:ascii="Arial" w:hAnsi="Arial" w:eastAsia="Hiragino Sans GB"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8" w:lineRule="auto"/>
    </w:pPr>
    <w:rPr>
      <w:rFonts w:ascii="Arial" w:hAnsi="Arial" w:eastAsia="Hiragino Sans GB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dicalCode">
    <w:name w:val="Medical Code"/>
    <w:basedOn w:val="Normal"/>
    <w:pPr>
      <w:spacing w:after="40" w:line="276" w:lineRule="auto"/>
    </w:pPr>
    <w:rPr>
      <w:rFonts w:ascii="Consolas" w:hAnsi="Consolas" w:eastAsia="Songti S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神经外科影像检验电生理病理及特殊检查分析模板库</dc:title>
  <dc:subject>神经外科医学文书规则库</dc:subject>
  <dc:creator>神经外科病历模板库</dc:creator>
  <cp:keywords>04 V1.0 2026-10-26</cp:keywords>
  <dc:description>模拟病例为虚构教学测试数据，不得写入真实病历。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