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神经外科AI病历书写系统</w:t>
      </w:r>
    </w:p>
    <w:p>
      <w:pPr>
        <w:pStyle w:val="Subtitle"/>
      </w:pPr>
      <w:r>
        <w:t>V1.0</w:t>
      </w:r>
    </w:p>
    <w:p>
      <w:pPr>
        <w:pStyle w:val="Title"/>
      </w:pPr>
      <w:r>
        <w:t>07 神经外科治疗决策围手术期用药及医嘱表达规则库</w:t>
      </w:r>
    </w:p>
    <w:p>
      <w:r>
        <w:t>模块编号 07    版本 V1.0</w:t>
      </w:r>
    </w:p>
    <w:p>
      <w:r>
        <w:t>所属层级 第二级 通用功能层</w:t>
      </w:r>
    </w:p>
    <w:p>
      <w:r>
        <w:t>创建及公开来源核验日期 2026年10月26日</w:t>
      </w:r>
    </w:p>
    <w:p>
      <w:r>
        <w:t>功能定位 将治疗依据方案与实际执行分开</w:t>
      </w:r>
    </w:p>
    <w:p>
      <w:r>
        <w:t>适用范围 24类治疗决策围术期药物与医嘱表达</w:t>
      </w:r>
    </w:p>
    <w:p>
      <w:r>
        <w:t>自动调用条件 需要治疗分析、方案调整或用药核对</w:t>
      </w:r>
    </w:p>
    <w:p>
      <w:r>
        <w:t>供中国医院神经外科临床医师使用的文书辅助规则库。阅读本模块后，应能提取本例证据、选择诊疗阶段、保留事实边界并生成可审核的病历正文。</w:t>
      </w:r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br w:type="page"/>
      </w:r>
    </w:p>
    <w:p>
      <w:pPr>
        <w:pStyle w:val="Title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8787" w:val="right" w:leader="dot"/>
        </w:tabs>
        <w:spacing w:after="60"/>
      </w:pPr>
      <w:hyperlink w:anchor="sec_0">
        <w:r>
          <w:t>治疗事实与建议边界</w:t>
        </w:r>
      </w:hyperlink>
      <w:r>
        <w:tab/>
      </w:r>
      <w:fldSimple w:instr="PAGEREF sec_0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2">
        <w:r>
          <w:t>24类治疗规则</w:t>
        </w:r>
      </w:hyperlink>
      <w:r>
        <w:tab/>
      </w:r>
      <w:fldSimple w:instr="PAGEREF sec_2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">
        <w:r>
          <w:t>01 手术与保守决策</w:t>
        </w:r>
      </w:hyperlink>
      <w:r>
        <w:tab/>
      </w:r>
      <w:fldSimple w:instr="PAGEREF sec_3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">
        <w:r>
          <w:t>02 颅内压管理</w:t>
        </w:r>
      </w:hyperlink>
      <w:r>
        <w:tab/>
      </w:r>
      <w:fldSimple w:instr="PAGEREF sec_6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">
        <w:r>
          <w:t>03 脑水肿治疗</w:t>
        </w:r>
      </w:hyperlink>
      <w:r>
        <w:tab/>
      </w:r>
      <w:fldSimple w:instr="PAGEREF sec_9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2">
        <w:r>
          <w:t>04 脑灌注血流动力学</w:t>
        </w:r>
      </w:hyperlink>
      <w:r>
        <w:tab/>
      </w:r>
      <w:fldSimple w:instr="PAGEREF sec_12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5">
        <w:r>
          <w:t>05 血压管理</w:t>
        </w:r>
      </w:hyperlink>
      <w:r>
        <w:tab/>
      </w:r>
      <w:fldSimple w:instr="PAGEREF sec_15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8">
        <w:r>
          <w:t>06 止血与出血风险</w:t>
        </w:r>
      </w:hyperlink>
      <w:r>
        <w:tab/>
      </w:r>
      <w:fldSimple w:instr="PAGEREF sec_18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1">
        <w:r>
          <w:t>07 抗凝抗血小板围术期</w:t>
        </w:r>
      </w:hyperlink>
      <w:r>
        <w:tab/>
      </w:r>
      <w:fldSimple w:instr="PAGEREF sec_21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4">
        <w:r>
          <w:t>08 抗凝相关出血协作</w:t>
        </w:r>
      </w:hyperlink>
      <w:r>
        <w:tab/>
      </w:r>
      <w:fldSimple w:instr="PAGEREF sec_24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7">
        <w:r>
          <w:t>09 抗发作药物</w:t>
        </w:r>
      </w:hyperlink>
      <w:r>
        <w:tab/>
      </w:r>
      <w:fldSimple w:instr="PAGEREF sec_27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0">
        <w:r>
          <w:t>10 镇静镇痛</w:t>
        </w:r>
      </w:hyperlink>
      <w:r>
        <w:tab/>
      </w:r>
      <w:fldSimple w:instr="PAGEREF sec_30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3">
        <w:r>
          <w:t>11 抗菌预防与治疗</w:t>
        </w:r>
      </w:hyperlink>
      <w:r>
        <w:tab/>
      </w:r>
      <w:fldSimple w:instr="PAGEREF sec_33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6">
        <w:r>
          <w:t>12 CSF引流</w:t>
        </w:r>
      </w:hyperlink>
      <w:r>
        <w:tab/>
      </w:r>
      <w:fldSimple w:instr="PAGEREF sec_36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9">
        <w:r>
          <w:t>13 水电解质</w:t>
        </w:r>
      </w:hyperlink>
      <w:r>
        <w:tab/>
      </w:r>
      <w:fldSimple w:instr="PAGEREF sec_39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2">
        <w:r>
          <w:t>14 垂体激素</w:t>
        </w:r>
      </w:hyperlink>
      <w:r>
        <w:tab/>
      </w:r>
      <w:fldSimple w:instr="PAGEREF sec_42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5">
        <w:r>
          <w:t>15 营养支持</w:t>
        </w:r>
      </w:hyperlink>
      <w:r>
        <w:tab/>
      </w:r>
      <w:fldSimple w:instr="PAGEREF sec_45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8">
        <w:r>
          <w:t>16 血糖管理</w:t>
        </w:r>
      </w:hyperlink>
      <w:r>
        <w:tab/>
      </w:r>
      <w:fldSimple w:instr="PAGEREF sec_48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1">
        <w:r>
          <w:t>17 VTE预防</w:t>
        </w:r>
      </w:hyperlink>
      <w:r>
        <w:tab/>
      </w:r>
      <w:fldSimple w:instr="PAGEREF sec_51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4">
        <w:r>
          <w:t>18 呼吸支持</w:t>
        </w:r>
      </w:hyperlink>
      <w:r>
        <w:tab/>
      </w:r>
      <w:fldSimple w:instr="PAGEREF sec_54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7">
        <w:r>
          <w:t>19 术后感染治疗</w:t>
        </w:r>
      </w:hyperlink>
      <w:r>
        <w:tab/>
      </w:r>
      <w:fldSimple w:instr="PAGEREF sec_57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0">
        <w:r>
          <w:t>20 肿瘤综合治疗</w:t>
        </w:r>
      </w:hyperlink>
      <w:r>
        <w:tab/>
      </w:r>
      <w:fldSimple w:instr="PAGEREF sec_60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3">
        <w:r>
          <w:t>21 脑积水分流</w:t>
        </w:r>
      </w:hyperlink>
      <w:r>
        <w:tab/>
      </w:r>
      <w:fldSimple w:instr="PAGEREF sec_63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6">
        <w:r>
          <w:t>22 脊柱脊髓术后</w:t>
        </w:r>
      </w:hyperlink>
      <w:r>
        <w:tab/>
      </w:r>
      <w:fldSimple w:instr="PAGEREF sec_66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9">
        <w:r>
          <w:t>23 方案调整</w:t>
        </w:r>
      </w:hyperlink>
      <w:r>
        <w:tab/>
      </w:r>
      <w:fldSimple w:instr="PAGEREF sec_69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2">
        <w:r>
          <w:t>24 出院药物核对</w:t>
        </w:r>
      </w:hyperlink>
      <w:r>
        <w:tab/>
      </w:r>
      <w:fldSimple w:instr="PAGEREF sec_72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sec_75">
        <w:r>
          <w:t>临床数值和推荐版本门槛</w:t>
        </w:r>
      </w:hyperlink>
      <w:r>
        <w:tab/>
      </w:r>
      <w:fldSimple w:instr="PAGEREF sec_75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sec_80">
        <w:r>
          <w:t>模拟临床病例</w:t>
        </w:r>
      </w:hyperlink>
      <w:r>
        <w:tab/>
      </w:r>
      <w:fldSimple w:instr="PAGEREF sec_80 \h">
        <w:r>
          <w:t>8</w:t>
        </w:r>
      </w:fldSimple>
    </w:p>
    <w:p>
      <w:pPr>
        <w:tabs>
          <w:tab w:pos="8787" w:val="right" w:leader="dot"/>
        </w:tabs>
        <w:spacing w:after="60"/>
      </w:pPr>
      <w:hyperlink w:anchor="sec_82">
        <w:r>
          <w:t>事实边界与常见错误</w:t>
        </w:r>
      </w:hyperlink>
      <w:r>
        <w:tab/>
      </w:r>
      <w:fldSimple w:instr="PAGEREF sec_82 \h">
        <w:r>
          <w:t>8</w:t>
        </w:r>
      </w:fldSimple>
    </w:p>
    <w:p>
      <w:pPr>
        <w:tabs>
          <w:tab w:pos="8787" w:val="right" w:leader="dot"/>
        </w:tabs>
        <w:spacing w:after="60"/>
      </w:pPr>
      <w:hyperlink w:anchor="sec_85">
        <w:r>
          <w:t>模块联动与最终质控</w:t>
        </w:r>
      </w:hyperlink>
      <w:r>
        <w:tab/>
      </w:r>
      <w:fldSimple w:instr="PAGEREF sec_85 \h">
        <w:r>
          <w:t>8</w:t>
        </w:r>
      </w:fldSimple>
    </w:p>
    <w:p>
      <w:pPr>
        <w:tabs>
          <w:tab w:pos="8787" w:val="right" w:leader="dot"/>
        </w:tabs>
        <w:spacing w:after="60"/>
      </w:pPr>
      <w:hyperlink w:anchor="ref_section">
        <w:r>
          <w:t>参考指南及版本说明</w:t>
        </w:r>
      </w:hyperlink>
      <w:r>
        <w:tab/>
      </w:r>
      <w:fldSimple w:instr="PAGEREF ref_section \h">
        <w:r>
          <w:t>8</w:t>
        </w:r>
      </w:fldSimple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" w:name="sec_0"/>
      <w:r>
        <w:t>治疗事实与建议边界</w:t>
      </w:r>
      <w:bookmarkEnd w:id="100"/>
    </w:p>
    <w:p>
      <w:r>
        <w:t>本库提供文书表达规则，不执行处方。每条药物需有适应证、名称规格、剂量单位、途径频次时程、开立与执行时间、暂停停用原因及肝肾过敏相关信息。未提供剂量不补常用剂量，缺关键处方信息不输出可执行医嘱净稿。知识建议写框外“供医师评估”，不能写患者已经接受。</w:t>
      </w:r>
    </w:p>
    <w:p>
      <w:pPr>
        <w:pStyle w:val="Heading1"/>
      </w:pPr>
      <w:bookmarkStart w:id="102" w:name="sec_2"/>
      <w:r>
        <w:t>24类治疗规则</w:t>
      </w:r>
      <w:bookmarkEnd w:id="102"/>
    </w:p>
    <w:p>
      <w:pPr>
        <w:pStyle w:val="Heading2"/>
      </w:pPr>
      <w:bookmarkStart w:id="103" w:name="sec_3"/>
      <w:r>
        <w:t>01 手术与保守决策</w:t>
      </w:r>
      <w:bookmarkEnd w:id="103"/>
    </w:p>
    <w:p>
      <w:r>
        <w:t>决策与适用：病变部位体积动态、神经状态、占位、全身风险和意愿综合；不以单个血肿存在作为指征。</w:t>
      </w:r>
    </w:p>
    <w:p>
      <w:r>
        <w:t>文书表达与质控：拟行何术、时间理由、备选及病情变化后复评触发。</w:t>
      </w:r>
    </w:p>
    <w:p>
      <w:pPr>
        <w:pStyle w:val="Heading2"/>
      </w:pPr>
      <w:bookmarkStart w:id="106" w:name="sec_6"/>
      <w:r>
        <w:t>02 颅内压管理</w:t>
      </w:r>
      <w:bookmarkEnd w:id="106"/>
    </w:p>
    <w:p>
      <w:r>
        <w:t>决策与适用：先病因、气道循环体位禁忌和监测可靠性，不能按水肿估ICP。</w:t>
      </w:r>
    </w:p>
    <w:p>
      <w:r>
        <w:t>文书表达与质控：实测模式趋势、实际措施响应，未实施不写控制满意。</w:t>
      </w:r>
    </w:p>
    <w:p>
      <w:pPr>
        <w:pStyle w:val="Heading2"/>
      </w:pPr>
      <w:bookmarkStart w:id="109" w:name="sec_9"/>
      <w:r>
        <w:t>03 脑水肿治疗</w:t>
      </w:r>
      <w:bookmarkEnd w:id="109"/>
    </w:p>
    <w:p>
      <w:r>
        <w:t>决策与适用：血管源性肿瘤水肿与创伤缺血等病因区分，渗透治疗兼顾肾功能容量电解质。</w:t>
      </w:r>
    </w:p>
    <w:p>
      <w:r>
        <w:t>文书表达与质控：不默认所有患者甘露醇或激素，按实记适应性及停用理由。</w:t>
      </w:r>
    </w:p>
    <w:p>
      <w:pPr>
        <w:pStyle w:val="Heading2"/>
      </w:pPr>
      <w:bookmarkStart w:id="112" w:name="sec_12"/>
      <w:r>
        <w:t>04 脑灌注血流动力学</w:t>
      </w:r>
      <w:bookmarkEnd w:id="112"/>
    </w:p>
    <w:p>
      <w:r>
        <w:t>决策与适用：疾病、瘤体是否处理及脑血管重建状态决定目标，MAP ICP须同参考。</w:t>
      </w:r>
    </w:p>
    <w:p>
      <w:r>
        <w:t>文书表达与质控：医师个体目标与实际达到值分开。</w:t>
      </w:r>
    </w:p>
    <w:p>
      <w:pPr>
        <w:pStyle w:val="Heading2"/>
      </w:pPr>
      <w:bookmarkStart w:id="115" w:name="sec_15"/>
      <w:r>
        <w:t>05 血压管理</w:t>
      </w:r>
      <w:bookmarkEnd w:id="115"/>
    </w:p>
    <w:p>
      <w:r>
        <w:t>决策与适用：ICH SAH 创伤和重建后目标不同，低灌注与再出血风险并评。</w:t>
      </w:r>
    </w:p>
    <w:p>
      <w:r>
        <w:t>文书表达与质控：不能给全病种固定血压范围。</w:t>
      </w:r>
    </w:p>
    <w:p>
      <w:pPr>
        <w:pStyle w:val="Heading2"/>
      </w:pPr>
      <w:bookmarkStart w:id="118" w:name="sec_18"/>
      <w:r>
        <w:t>06 止血与出血风险</w:t>
      </w:r>
      <w:bookmarkEnd w:id="118"/>
    </w:p>
    <w:p>
      <w:r>
        <w:t>决策与适用：活动出血、凝血血小板抗栓及手术需求。</w:t>
      </w:r>
    </w:p>
    <w:p>
      <w:r>
        <w:t>文书表达与质控：特异逆转或输注仅按实际医嘱及执行，不固定预防止血药。</w:t>
      </w:r>
    </w:p>
    <w:p>
      <w:pPr>
        <w:pStyle w:val="Heading2"/>
      </w:pPr>
      <w:bookmarkStart w:id="121" w:name="sec_21"/>
      <w:r>
        <w:t>07 抗凝抗血小板围术期</w:t>
      </w:r>
      <w:bookmarkEnd w:id="121"/>
    </w:p>
    <w:p>
      <w:r>
        <w:t>决策与适用：适应证、药物末次时间、肾功能、支架/瓣膜与出血风险，MDT决定停复药。</w:t>
      </w:r>
    </w:p>
    <w:p>
      <w:r>
        <w:t>文书表达与质控：不能一律停几天或默认桥接。</w:t>
      </w:r>
    </w:p>
    <w:p>
      <w:pPr>
        <w:pStyle w:val="Heading2"/>
      </w:pPr>
      <w:bookmarkStart w:id="124" w:name="sec_24"/>
      <w:r>
        <w:t>08 抗凝相关出血协作</w:t>
      </w:r>
      <w:bookmarkEnd w:id="124"/>
    </w:p>
    <w:p>
      <w:r>
        <w:t>决策与适用：药物类型末次执行、凝血和临床出血；联系相关专科逆转。</w:t>
      </w:r>
    </w:p>
    <w:p>
      <w:r>
        <w:t>文书表达与质控：逆转计划、开立、执行和复测分别有时点。</w:t>
      </w:r>
    </w:p>
    <w:p>
      <w:pPr>
        <w:pStyle w:val="Heading2"/>
      </w:pPr>
      <w:bookmarkStart w:id="127" w:name="sec_27"/>
      <w:r>
        <w:t>09 抗发作药物</w:t>
      </w:r>
      <w:bookmarkEnd w:id="127"/>
    </w:p>
    <w:p>
      <w:r>
        <w:t>决策与适用：既往癫痫、急性发作与预防场景区分，不把短期预防写成癫痫诊断。</w:t>
      </w:r>
    </w:p>
    <w:p>
      <w:r>
        <w:t>文书表达与质控：既有药停复调整原因，禁全部创伤默认同药同疗程。</w:t>
      </w:r>
    </w:p>
    <w:p>
      <w:pPr>
        <w:pStyle w:val="Heading2"/>
      </w:pPr>
      <w:bookmarkStart w:id="130" w:name="sec_30"/>
      <w:r>
        <w:t>10 镇静镇痛</w:t>
      </w:r>
      <w:bookmarkEnd w:id="130"/>
    </w:p>
    <w:p>
      <w:r>
        <w:t>决策与适用：适应性、目标与实测评分、呼吸循环及查体影响。</w:t>
      </w:r>
    </w:p>
    <w:p>
      <w:r>
        <w:t>文书表达与质控：不据镇静下不动判永久神经缺损。</w:t>
      </w:r>
    </w:p>
    <w:p>
      <w:pPr>
        <w:pStyle w:val="Heading2"/>
      </w:pPr>
      <w:bookmarkStart w:id="133" w:name="sec_33"/>
      <w:r>
        <w:t>11 抗菌预防与治疗</w:t>
      </w:r>
      <w:bookmarkEnd w:id="133"/>
    </w:p>
    <w:p>
      <w:r>
        <w:t>决策与适用：手术预防、开放污染、装置及确诊感染分开，依据本院药敏和药事规范。</w:t>
      </w:r>
    </w:p>
    <w:p>
      <w:r>
        <w:t>文书表达与质控：不能因EVD留置无限延长预防；具体处方经医师审核。</w:t>
      </w:r>
    </w:p>
    <w:p>
      <w:pPr>
        <w:pStyle w:val="Heading2"/>
      </w:pPr>
      <w:bookmarkStart w:id="136" w:name="sec_36"/>
      <w:r>
        <w:t>12 CSF引流</w:t>
      </w:r>
      <w:bookmarkEnd w:id="136"/>
    </w:p>
    <w:p>
      <w:r>
        <w:t>决策与适用：梗阻占位风险、EVD/LD适应性和已有医嘱，开放夹闭设置不得自动改。</w:t>
      </w:r>
    </w:p>
    <w:p>
      <w:r>
        <w:t>文书表达与质控：无菌操作与调整由授权团队，系统仅记录。</w:t>
      </w:r>
    </w:p>
    <w:p>
      <w:pPr>
        <w:pStyle w:val="Heading2"/>
      </w:pPr>
      <w:bookmarkStart w:id="139" w:name="sec_39"/>
      <w:r>
        <w:t>13 水电解质</w:t>
      </w:r>
      <w:bookmarkEnd w:id="139"/>
    </w:p>
    <w:p>
      <w:r>
        <w:t>决策与适用：趋势、容量、血尿渗透、用药和营养综合，SIADH CSW不足肾上腺等鉴别。</w:t>
      </w:r>
    </w:p>
    <w:p>
      <w:r>
        <w:t>文书表达与质控：不能无依据限水补盐或去氨加压素。</w:t>
      </w:r>
    </w:p>
    <w:p>
      <w:pPr>
        <w:pStyle w:val="Heading2"/>
      </w:pPr>
      <w:bookmarkStart w:id="142" w:name="sec_42"/>
      <w:r>
        <w:t>14 垂体激素</w:t>
      </w:r>
      <w:bookmarkEnd w:id="142"/>
    </w:p>
    <w:p>
      <w:r>
        <w:t>决策与适用：轴评估与实际激素用药影响；甲状腺补充需兼顾肾上腺轴安全。</w:t>
      </w:r>
    </w:p>
    <w:p>
      <w:r>
        <w:t>文书表达与质控：药名剂量时程和复查由内分泌联合确认。</w:t>
      </w:r>
    </w:p>
    <w:p>
      <w:pPr>
        <w:pStyle w:val="Heading2"/>
      </w:pPr>
      <w:bookmarkStart w:id="145" w:name="sec_45"/>
      <w:r>
        <w:t>15 营养支持</w:t>
      </w:r>
      <w:bookmarkEnd w:id="145"/>
    </w:p>
    <w:p>
      <w:r>
        <w:t>决策与适用：吞咽气道、肠内可行、营养风险和颅内/全身情况。</w:t>
      </w:r>
    </w:p>
    <w:p>
      <w:r>
        <w:t>文书表达与质控：路线和实际摄入量区别，不默认已达目标。</w:t>
      </w:r>
    </w:p>
    <w:p>
      <w:pPr>
        <w:pStyle w:val="Heading2"/>
      </w:pPr>
      <w:bookmarkStart w:id="148" w:name="sec_48"/>
      <w:r>
        <w:t>16 血糖管理</w:t>
      </w:r>
      <w:bookmarkEnd w:id="148"/>
    </w:p>
    <w:p>
      <w:r>
        <w:t>决策与适用：高低血糖、营养激素和胰岛素执行，防低血糖加重脑损伤。</w:t>
      </w:r>
    </w:p>
    <w:p>
      <w:r>
        <w:t>文书表达与质控：目标与实际值、调整后反应有据。</w:t>
      </w:r>
    </w:p>
    <w:p>
      <w:pPr>
        <w:pStyle w:val="Heading2"/>
      </w:pPr>
      <w:bookmarkStart w:id="151" w:name="sec_51"/>
      <w:r>
        <w:t>17 VTE预防</w:t>
      </w:r>
      <w:bookmarkEnd w:id="151"/>
    </w:p>
    <w:p>
      <w:r>
        <w:t>决策与适用：活动能力、出血稳定性复查影像、手术及装置，机械药物分别权衡。</w:t>
      </w:r>
    </w:p>
    <w:p>
      <w:r>
        <w:t>文书表达与质控：不能按POD自动开始或停止药物预防。</w:t>
      </w:r>
    </w:p>
    <w:p>
      <w:pPr>
        <w:pStyle w:val="Heading2"/>
      </w:pPr>
      <w:bookmarkStart w:id="154" w:name="sec_54"/>
      <w:r>
        <w:t>18 呼吸支持</w:t>
      </w:r>
      <w:bookmarkEnd w:id="154"/>
    </w:p>
    <w:p>
      <w:r>
        <w:t>决策与适用：意识气道吞咽氧合和通气，呼吸机参数原样核对。</w:t>
      </w:r>
    </w:p>
    <w:p>
      <w:r>
        <w:t>文书表达与质控：不自动给拔管指令或补通气数值。</w:t>
      </w:r>
    </w:p>
    <w:p>
      <w:pPr>
        <w:pStyle w:val="Heading2"/>
      </w:pPr>
      <w:bookmarkStart w:id="157" w:name="sec_57"/>
      <w:r>
        <w:t>19 术后感染治疗</w:t>
      </w:r>
      <w:bookmarkEnd w:id="157"/>
    </w:p>
    <w:p>
      <w:r>
        <w:t>决策与适用：证据层级病原药敏CSF穿透和感染源控制，感染药师协作。</w:t>
      </w:r>
    </w:p>
    <w:p>
      <w:r>
        <w:t>文书表达与质控：经验、靶向及停药实际状态区分。</w:t>
      </w:r>
    </w:p>
    <w:p>
      <w:pPr>
        <w:pStyle w:val="Heading2"/>
      </w:pPr>
      <w:bookmarkStart w:id="160" w:name="sec_60"/>
      <w:r>
        <w:t>20 肿瘤综合治疗</w:t>
      </w:r>
      <w:bookmarkEnd w:id="160"/>
    </w:p>
    <w:p>
      <w:r>
        <w:t>决策与适用：正式病理分子、残留功能年龄和MDT决定放疗系统方案。</w:t>
      </w:r>
    </w:p>
    <w:p>
      <w:r>
        <w:t>文书表达与质控：不从影像推病理后立即自动出化疗医嘱。</w:t>
      </w:r>
    </w:p>
    <w:p>
      <w:pPr>
        <w:pStyle w:val="Heading2"/>
      </w:pPr>
      <w:bookmarkStart w:id="163" w:name="sec_63"/>
      <w:r>
        <w:t>21 脑积水分流</w:t>
      </w:r>
      <w:bookmarkEnd w:id="163"/>
    </w:p>
    <w:p>
      <w:r>
        <w:t>决策与适用：病因CSF通路感染和设备状态，ETV或分流不一律选择。</w:t>
      </w:r>
    </w:p>
    <w:p>
      <w:r>
        <w:t>文书表达与质控：型号设置实际调整和效果分记录。</w:t>
      </w:r>
    </w:p>
    <w:p>
      <w:pPr>
        <w:pStyle w:val="Heading2"/>
      </w:pPr>
      <w:bookmarkStart w:id="166" w:name="sec_66"/>
      <w:r>
        <w:t>22 脊柱脊髓术后</w:t>
      </w:r>
      <w:bookmarkEnd w:id="166"/>
    </w:p>
    <w:p>
      <w:r>
        <w:t>决策与适用：神经功能、减压稳定性、切口CSF和活动许可，由本院分工决定。</w:t>
      </w:r>
    </w:p>
    <w:p>
      <w:r>
        <w:t>文书表达与质控：不套骨科默认负重限制，不据内固定存在自动稳定。</w:t>
      </w:r>
    </w:p>
    <w:p>
      <w:pPr>
        <w:pStyle w:val="Heading2"/>
      </w:pPr>
      <w:bookmarkStart w:id="169" w:name="sec_69"/>
      <w:r>
        <w:t>23 方案调整</w:t>
      </w:r>
      <w:bookmarkEnd w:id="169"/>
    </w:p>
    <w:p>
      <w:r>
        <w:t>决策与适用：触发证据、原方案实际执行、替代风险及复评。</w:t>
      </w:r>
    </w:p>
    <w:p>
      <w:r>
        <w:t>文书表达与质控：新计划与已经实施分开，停用有结束时间。</w:t>
      </w:r>
    </w:p>
    <w:p>
      <w:pPr>
        <w:pStyle w:val="Heading2"/>
      </w:pPr>
      <w:bookmarkStart w:id="172" w:name="sec_72"/>
      <w:r>
        <w:t>24 出院药物核对</w:t>
      </w:r>
      <w:bookmarkEnd w:id="172"/>
    </w:p>
    <w:p>
      <w:r>
        <w:t>决策与适用：住院与既往处方逐项对照当前需继续停用暂停恢复，写清责任。</w:t>
      </w:r>
    </w:p>
    <w:p>
      <w:r>
        <w:t>文书表达与质控：激素抗发作抗栓不得自动骤停，缺剂量不生成完整处方。</w:t>
      </w:r>
    </w:p>
    <w:p>
      <w:pPr>
        <w:pStyle w:val="Heading1"/>
      </w:pPr>
      <w:bookmarkStart w:id="175" w:name="sec_75"/>
      <w:r>
        <w:t>临床数值和推荐版本门槛</w:t>
      </w:r>
      <w:bookmarkEnd w:id="175"/>
    </w:p>
    <w:p>
      <w:r>
        <w:t>涉及ICP、CPP、血压、血钠纠正、抗栓停复药、药物剂量、引流量、阀门设定、输血或手术体积等任何具体阈值，先绑定指南条款、版本、适用年龄病因、推荐等级和本院批准方案。公开摘要未提供或无法核验时本库不预置阈值，由医师提供真实决定；不能套成人创伤阈值到儿童、SAH或肿瘤。</w:t>
      </w:r>
    </w:p>
    <w:p>
      <w:r>
        <w:t>以下结构模板中的变量只允许用本例真实资料替换；本文件各模板均遵守此规则，正式输出前删除全部未填变量。</w:t>
      </w:r>
    </w:p>
    <w:p>
      <w:pPr>
        <w:keepNext/>
      </w:pPr>
      <w:r>
        <w:t>【记录日期时间】 治疗方案调整记录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因【新症状检查与风险证据】，目前【原方案及实际执行】，经【实际医师评估】拟【调整计划及理由】。已开立【真实医嘱】，实际执行【已核实执行或尚未执行】，监测【个体指标与复评条件】。</w:t>
      </w:r>
    </w:p>
    <w:p>
      <w:pPr>
        <w:pStyle w:val="MedicalCode"/>
        <w:keepLines w:val="0"/>
      </w:pPr>
      <w:r>
        <w:t>```</w:t>
      </w:r>
    </w:p>
    <w:p>
      <w:pPr>
        <w:pStyle w:val="Heading1"/>
      </w:pPr>
      <w:bookmarkStart w:id="180" w:name="sec_80"/>
      <w:r>
        <w:t>模拟临床病例</w:t>
      </w:r>
      <w:bookmarkEnd w:id="180"/>
    </w:p>
    <w:p>
      <w:r>
        <w:t>SIM-MED-01：左颞创伤患者原有抗发作药物，今日医嘱暂停，执行单显示08:00仍给药。正确保留08:00执行和09:00暂停两事件，09:30后不能再写持续常规给药；不能因“创伤术后”增加未开立的抗菌或脱水治疗。</w:t>
      </w:r>
    </w:p>
    <w:p>
      <w:pPr>
        <w:pStyle w:val="Heading1"/>
      </w:pPr>
      <w:bookmarkStart w:id="182" w:name="sec_82"/>
      <w:r>
        <w:t>事实边界与常见错误</w:t>
      </w:r>
      <w:bookmarkEnd w:id="182"/>
    </w:p>
    <w:p>
      <w:r>
        <w:t>查体未提供时不填正常；拟行、医嘱、实际执行分开；术者记录、麻醉记录、护理装置记录和影像报告按各自事实领域核对。冲突不以信息较新或职称较高自动消除。模拟病例全部使用虚构编号，不可存入真实患者状态。</w:t>
      </w:r>
    </w:p>
    <w:p>
      <w:r>
        <w:t>本模块所有正式输出遵守01。结构模板中的【字段】只用于规则演示，不是患者事实。不得生成医师实际未说过的查房意见、实际未开展的讨论或知情沟通；可在框外提供待医师确认的分析建议。</w:t>
      </w:r>
    </w:p>
    <w:p>
      <w:pPr>
        <w:pStyle w:val="Heading1"/>
      </w:pPr>
      <w:bookmarkStart w:id="185" w:name="sec_85"/>
      <w:r>
        <w:t>模块联动与最终质控</w:t>
      </w:r>
      <w:bookmarkEnd w:id="185"/>
    </w:p>
    <w:p>
      <w:r>
        <w:t>由00进入，01约束，11绑定患者及住院事件后调用07；需要的通用或专病模块只按当前任务加载。输出前交10核对身份、解剖侧别、证据程度、手术与装置事件、时序、用药执行及代码框；严重冲突阻断净稿，紧急评估提示不受阻断。</w:t>
      </w:r>
    </w:p>
    <w:p>
      <w:pPr>
        <w:pStyle w:val="Heading1"/>
      </w:pPr>
      <w:bookmarkStart w:id="90000" w:name="ref_section"/>
      <w:r>
        <w:t>参考指南及版本说明</w:t>
      </w:r>
      <w:bookmarkEnd w:id="90000"/>
    </w:p>
    <w:p>
      <w:r>
        <w:t>核验日为2026年10月26日。下列来源按实际可访问层级列示；目录摘要核验不等于全文推荐核验。未核实的分值界限、给药剂量、引流设置和手术阈值不由本库自动补入；先使用本院经批准且已核对版本的规范。中国制度和国际指南分别标注适用人群，不能混合成统一自动医嘱。旧版保留用于解释历史记录，不称最新版。</w:t>
      </w:r>
    </w:p>
    <w:p>
      <w:r>
        <w:t>[R01] 病历书写基本规范 卫医政发〔2010〕11号。发布机构：原卫生部；年份/版本：2010；核验日期：2026年10月26日。适用范围：客观真实、栏目、记录时限及签名；执行前同时核对本院现行制度。核验层级：官方页面与可检索条文已核验；不是2002试行版。来源：https://www.nhc.gov.cn/wjw/c100175/201002/b1bec53d90f243e0861529723f00221a.shtml</w:t>
      </w:r>
    </w:p>
    <w:p>
      <w:r>
        <w:t>[R02] 医疗质量安全核心制度要点 国卫医发〔2018〕8号。发布机构：国家卫生健康委员会；年份/版本：2018；核验日期：2026年10月26日。适用范围：三级查房、会诊、术前讨论、抢救、手术安全、病历及信息管理。核验层级：官方解读已核验。来源：https://www.nhc.gov.cn/zwgk/jdjd/201804/5dfb30387c74412194c7f05b878d4f87.shtml</w:t>
      </w:r>
    </w:p>
    <w:p>
      <w:r>
        <w:t>[R03] 电子病历应用管理规范 试行 国卫办医发〔2017〕8号。发布机构：原国家卫生计生委 国家中医药管理局；年份/版本：2017；核验日期：2026年10月26日。适用范围：电子病历权限、审签、修改留痕和管理。核验层级：官网全文或原始指南页面已核验。来源：https://www.nhc.gov.cn/wjw/c100175/201702/90f3de8ae03d488cbddf509dc958f75b.shtml</w:t>
      </w:r>
    </w:p>
    <w:p>
      <w:r>
        <w:t>[T01] Guidelines for the Management of Severe TBI Fourth Edition。发布机构：Brain Trauma Foundation；年份/版本：2016/2017；核验日期：2026年10月26日。适用范围：成人重型颅脑创伤；不外推儿童或非创伤疾病。核验层级：原始PDF和官网现行目录已核验。来源：https://braintrauma.org/s/Management_of_Severe_TBI_4th_Edition.pdf</w:t>
      </w:r>
    </w:p>
    <w:p>
      <w:r>
        <w:t>[T02] Guidelines for Severe TBI 2020 Update of the Decompressive Craniectomy Recommendations。发布机构：Brain Trauma Foundation；年份/版本：2020；核验日期：2026年10月26日。适用范围：继发性去骨瓣减压的证据边界；不代替原发血肿清除决定。核验层级：官网更新目录已核验。来源：https://braintrauma.org/coma/guidelines-current</w:t>
      </w:r>
    </w:p>
    <w:p>
      <w:r>
        <w:t>[C04] 2023 Guideline for the Management of Patients With Aneurysmal Subarachnoid Hemorrhage。发布机构：AHA/ASA；年份/版本：2023；核验日期：2026年10月26日。适用范围：动脉瘤性SAH；DCI与血管痉挛区分、早期瘤体处理和多学科策略。核验层级：官网全文或原始指南页面已核验。来源：https://www.ahajournals.org/doi/pdf/10.1161/STR.0000000000000436</w:t>
      </w:r>
    </w:p>
    <w:p>
      <w:r>
        <w:t>[C05] 2022 Guideline for the Management of Patients With Spontaneous Intracerebral Hemorrhage。发布机构：AHA/ASA；年份/版本：2022；核验日期：2026年10月26日。适用范围：成人自发性脑出血；不能用于创伤、肿瘤出血或已知结构性病因的全部决策。核验层级：官网全文或原始指南页面已核验。来源：https://www.ahajournals.org/doi/10.1161/STR.0000000000000407</w:t>
      </w:r>
    </w:p>
    <w:p>
      <w:r>
        <w:t>[C06] 高血压性脑出血重症管理专家共识 2026版。发布机构：中国医师协会神经外科医师分会神经重症专家委员会 中国神经外科重症管理协作组；年份/版本：2026；核验日期：2026年10月26日。适用范围：高血压性脑出血急性期重症；DOI 10.3760/cma.j.cn112050-20251205-00464。核验层级：原期刊检索摘要及DOI已核验；直接全文页面返回未找到，不据此生成全文处方。来源：https://cs.medjournals.cn/article/en/doi/full/10.3760/cma.j.cn112050-20251205-00464</w:t>
      </w:r>
    </w:p>
    <w:p>
      <w:r>
        <w:t>[H01] 神经外科重症患者脑脊液外引流管理专家共识 2026版。发布机构：中华医学会神经外科学分会 中国神经外科重症管理协作组；年份/版本：2026；核验日期：2026年10月26日。适用范围：EVD和LD适用范围、留置管理与并发症；DOI 10.3760/cma.j.cn112137-20251114-02966。核验层级：原期刊目录摘要核验；全文参数未逐条核验，不沿用2018固定设置。来源：https://bi-dmp-cs.yiigle.com/cn/WEB-INF/toc/72615</w:t>
      </w:r>
    </w:p>
    <w:p>
      <w:r>
        <w:t>[H02] 神经外科术后颅内感染诊治专家共识 2026版。发布机构：中华医学会神经外科学分会 中国神经外科重症管理协作组 北京医学会神经外科学分会；年份/版本：2026；核验日期：2026年10月26日。适用范围：术后颅内感染的证据和综合管理；DOI 10.3760/cma.j.cn112137-20260329-00837。核验层级：原期刊摘要和DOI核验；不据摘要编写抗菌药具体剂量。来源：https://uatwk.yiigle.com/cn/CN113904201206/toc/72938</w:t>
      </w:r>
    </w:p>
    <w:p>
      <w:r>
        <w:t>[H03] Clinical Practice Guidelines for Healthcare Associated Ventriculitis and Meningitis。发布机构：IDSA；年份/版本：2017；核验日期：2026年10月26日。适用范围：医源性脑室炎脑膜炎与装置感染；非社区获得性感染通用替代方案。核验层级：官网全文或原始指南页面已核验。来源：https://www.idsociety.org/practice-guideline/healthcare-associated-ventriculitis-and-meningitis/</w:t>
      </w:r>
    </w:p>
    <w:p>
      <w:r>
        <w:t>[S01] Hormone Replacement in Hypopituitarism in Adults。发布机构：Endocrine Society；年份/版本：2016；核验日期：2026年10月26日。适用范围：成人垂体功能减退、围术期激素评估，不作为儿童剂量依据。核验层级：官网全文或原始指南页面已核验。来源：https://www.endocrine.org/clinical-practice-guidelines/hormone-replacement-in-hypopituitarism</w:t>
      </w:r>
    </w:p>
    <w:p>
      <w:r>
        <w:t>[SP02] AO Spine Praxis Clinical Practice Guidelines Acute Spinal Cord Injury。发布机构：AO Spine Praxis Spinal Cord Institute；年份/版本：2024；核验日期：2026年10月26日。适用范围：成人急性创伤性脊髓损伤时机、血流动力学及术中脊髓损伤。核验层级：官网全文或原始指南页面已核验。来源：https://www.aofoundation.org/spine/clinical-library-and-tools/guidelines</w:t>
      </w:r>
    </w:p>
    <w:p>
      <w:r>
        <w:t>[C07] 脑血管病防治指南 2024年版 国卫办医急函〔2024〕478号。发布机构：国家卫生健康委员会办公厅；年份/版本：2024；核验日期：2026年10月26日。适用范围：中国脑血管病防治框架、出血和外科衔接，具体手术方案需专科适用依据。核验层级：官网全文或原始指南页面已核验。来源：https://www.nhc.gov.cn/ylyjs/zcwj/202412/ba037e931fff4870930f65ff667ea9ed.shtml</w:t>
      </w:r>
    </w:p>
    <w:p>
      <w:r>
        <w:t>[M01] 围手术期患者血液管理指南 WS/T 796—2022。发布机构：国家卫生健康委员会；年份/版本：2022；核验日期：2026年10月26日。适用范围：围手术期贫血失血及输血评估，不据模板认定已经输血。核验层级：官网全文或原始指南页面已核验。来源：https://www.nhc.gov.cn/wjw/s9493/202202/8d623aee6bea4d648cc4a269c13a4452.shtml</w:t>
      </w:r>
    </w:p>
    <w:p>
      <w:r>
        <w:t>[M02] 中国神经外科术后加速康复外科 ERAS 专家共识。发布机构：中国医师协会脑胶质瘤专业委员会；年份/版本：2020；核验日期：2026年10月26日。适用范围：神经外科择期围术期康复框架；非全部急诊儿童或病种的统一方案。核验层级：原刊全文和DOI 10.3760/cma.j.cn112050-20200716-00405核验，不称最新版。来源：https://seleguide.yiigle.com/uploads/guide_html/中国神经外科术后加速康复外科(ERAS)专家共识.html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神经外科AI病历书写系统 V1.0  07  |  </w:t>
    </w:r>
    <w:fldSimple w:instr="PAGE">
      <w:r>
        <w:t>1</w:t>
      </w:r>
    </w:fldSimple>
    <w:r>
      <w:t xml:space="preserve"> / </w:t>
    </w:r>
    <w:fldSimple w:instr="NUMPAGES">
      <w:r>
        <w:t>10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Hiragino Sans GB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Arial" w:hAnsi="Arial" w:eastAsia="Hiragino Sans GB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Code">
    <w:name w:val="Medical Code"/>
    <w:basedOn w:val="Normal"/>
    <w:pPr>
      <w:spacing w:after="40" w:line="276" w:lineRule="auto"/>
    </w:pPr>
    <w:rPr>
      <w:rFonts w:ascii="Consolas" w:hAnsi="Consolas" w:eastAsia="Songti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神经外科治疗决策围手术期用药及医嘱表达规则库</dc:title>
  <dc:subject>神经外科医学文书规则库</dc:subject>
  <dc:creator>神经外科病历模板库</dc:creator>
  <cp:keywords>07 V1.0 2026-10-26</cp:keywords>
  <dc:description>模拟病例为虚构教学测试数据，不得写入真实病历。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