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神经外科AI病历书写系统</w:t>
      </w:r>
    </w:p>
    <w:p>
      <w:pPr>
        <w:pStyle w:val="Subtitle"/>
      </w:pPr>
      <w:r>
        <w:t>V1.0</w:t>
      </w:r>
    </w:p>
    <w:p>
      <w:pPr>
        <w:pStyle w:val="Title"/>
      </w:pPr>
      <w:r>
        <w:t>08 神经外科三级医师查房决策与层级表达模板库</w:t>
      </w:r>
    </w:p>
    <w:p>
      <w:r>
        <w:t>模块编号 08    版本 V1.0</w:t>
      </w:r>
    </w:p>
    <w:p>
      <w:r>
        <w:t>所属层级 第二级 通用功能层</w:t>
      </w:r>
    </w:p>
    <w:p>
      <w:r>
        <w:t>创建及公开来源核验日期 2026年10月26日</w:t>
      </w:r>
    </w:p>
    <w:p>
      <w:r>
        <w:t>功能定位 分层表达实际查房意见</w:t>
      </w:r>
    </w:p>
    <w:p>
      <w:r>
        <w:t>适用范围 主治副主任主任20种场景</w:t>
      </w:r>
    </w:p>
    <w:p>
      <w:r>
        <w:t>自动调用条件 识别查房职称和真实查房意见后加载</w:t>
      </w:r>
    </w:p>
    <w:p>
      <w:r>
        <w:t>供中国医院神经外科临床医师使用的文书辅助规则库。阅读本模块后，应能提取本例证据、选择诊疗阶段、保留事实边界并生成可审核的病历正文。</w:t>
      </w:r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br w:type="page"/>
      </w:r>
    </w:p>
    <w:p>
      <w:pPr>
        <w:pStyle w:val="Title"/>
      </w:pPr>
      <w: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8787" w:val="right" w:leader="dot"/>
        </w:tabs>
        <w:spacing w:after="60"/>
      </w:pPr>
      <w:hyperlink w:anchor="sec_0">
        <w:r>
          <w:t>三级医师决策职责与真实性</w:t>
        </w:r>
      </w:hyperlink>
      <w:r>
        <w:tab/>
      </w:r>
      <w:fldSimple w:instr="PAGEREF sec_0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3">
        <w:r>
          <w:t>正式医学文书代码框输出规范</w:t>
        </w:r>
      </w:hyperlink>
      <w:r>
        <w:tab/>
      </w:r>
      <w:fldSimple w:instr="PAGEREF sec_3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5">
        <w:r>
          <w:t>20场景三级查房模板</w:t>
        </w:r>
      </w:hyperlink>
      <w:r>
        <w:tab/>
      </w:r>
      <w:fldSimple w:instr="PAGEREF sec_5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">
        <w:r>
          <w:t>01 颅脑创伤首次查房</w:t>
        </w:r>
      </w:hyperlink>
      <w:r>
        <w:tab/>
      </w:r>
      <w:fldSimple w:instr="PAGEREF sec_6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5">
        <w:r>
          <w:t>02 保守治疗期间查房</w:t>
        </w:r>
      </w:hyperlink>
      <w:r>
        <w:tab/>
      </w:r>
      <w:fldSimple w:instr="PAGEREF sec_15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3">
        <w:r>
          <w:t>03 脑出血患者查房</w:t>
        </w:r>
      </w:hyperlink>
      <w:r>
        <w:tab/>
      </w:r>
      <w:fldSimple w:instr="PAGEREF sec_23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1">
        <w:r>
          <w:t>04 急诊手术前查房</w:t>
        </w:r>
      </w:hyperlink>
      <w:r>
        <w:tab/>
      </w:r>
      <w:fldSimple w:instr="PAGEREF sec_31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9">
        <w:r>
          <w:t>05 开颅术后查房</w:t>
        </w:r>
      </w:hyperlink>
      <w:r>
        <w:tab/>
      </w:r>
      <w:fldSimple w:instr="PAGEREF sec_39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7">
        <w:r>
          <w:t>06 去骨瓣减压术后查房</w:t>
        </w:r>
      </w:hyperlink>
      <w:r>
        <w:tab/>
      </w:r>
      <w:fldSimple w:instr="PAGEREF sec_47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5">
        <w:r>
          <w:t>07 脑动脉瘤术前查房</w:t>
        </w:r>
      </w:hyperlink>
      <w:r>
        <w:tab/>
      </w:r>
      <w:fldSimple w:instr="PAGEREF sec_55 \h">
        <w:r>
          <w:t>9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3">
        <w:r>
          <w:t>08 动脉瘤手术或介入后查房</w:t>
        </w:r>
      </w:hyperlink>
      <w:r>
        <w:tab/>
      </w:r>
      <w:fldSimple w:instr="PAGEREF sec_63 \h">
        <w:r>
          <w:t>10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1">
        <w:r>
          <w:t>09 神经肿瘤术前查房</w:t>
        </w:r>
      </w:hyperlink>
      <w:r>
        <w:tab/>
      </w:r>
      <w:fldSimple w:instr="PAGEREF sec_71 \h">
        <w:r>
          <w:t>10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9">
        <w:r>
          <w:t>10 脑肿瘤术后查房</w:t>
        </w:r>
      </w:hyperlink>
      <w:r>
        <w:tab/>
      </w:r>
      <w:fldSimple w:instr="PAGEREF sec_79 \h">
        <w:r>
          <w:t>11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7">
        <w:r>
          <w:t>11 垂体术后查房</w:t>
        </w:r>
      </w:hyperlink>
      <w:r>
        <w:tab/>
      </w:r>
      <w:fldSimple w:instr="PAGEREF sec_87 \h">
        <w:r>
          <w:t>12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5">
        <w:r>
          <w:t>12 脊柱脊髓术后查房</w:t>
        </w:r>
      </w:hyperlink>
      <w:r>
        <w:tab/>
      </w:r>
      <w:fldSimple w:instr="PAGEREF sec_95 \h">
        <w:r>
          <w:t>13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03">
        <w:r>
          <w:t>13 脑积水分流术后查房</w:t>
        </w:r>
      </w:hyperlink>
      <w:r>
        <w:tab/>
      </w:r>
      <w:fldSimple w:instr="PAGEREF sec_103 \h">
        <w:r>
          <w:t>13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11">
        <w:r>
          <w:t>14 神经功能恶化查房</w:t>
        </w:r>
      </w:hyperlink>
      <w:r>
        <w:tab/>
      </w:r>
      <w:fldSimple w:instr="PAGEREF sec_111 \h">
        <w:r>
          <w:t>14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19">
        <w:r>
          <w:t>15 脑脊液引流异常查房</w:t>
        </w:r>
      </w:hyperlink>
      <w:r>
        <w:tab/>
      </w:r>
      <w:fldSimple w:instr="PAGEREF sec_119 \h">
        <w:r>
          <w:t>15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27">
        <w:r>
          <w:t>16 神经重症查房</w:t>
        </w:r>
      </w:hyperlink>
      <w:r>
        <w:tab/>
      </w:r>
      <w:fldSimple w:instr="PAGEREF sec_127 \h">
        <w:r>
          <w:t>16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35">
        <w:r>
          <w:t>17 病理回报后查房</w:t>
        </w:r>
      </w:hyperlink>
      <w:r>
        <w:tab/>
      </w:r>
      <w:fldSimple w:instr="PAGEREF sec_135 \h">
        <w:r>
          <w:t>16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43">
        <w:r>
          <w:t>18 诊断修正查房</w:t>
        </w:r>
      </w:hyperlink>
      <w:r>
        <w:tab/>
      </w:r>
      <w:fldSimple w:instr="PAGEREF sec_143 \h">
        <w:r>
          <w:t>17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51">
        <w:r>
          <w:t>19 再次手术决策查房</w:t>
        </w:r>
      </w:hyperlink>
      <w:r>
        <w:tab/>
      </w:r>
      <w:fldSimple w:instr="PAGEREF sec_151 \h">
        <w:r>
          <w:t>18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59">
        <w:r>
          <w:t>20 出院前查房</w:t>
        </w:r>
      </w:hyperlink>
      <w:r>
        <w:tab/>
      </w:r>
      <w:fldSimple w:instr="PAGEREF sec_159 \h">
        <w:r>
          <w:t>19</w:t>
        </w:r>
      </w:fldSimple>
    </w:p>
    <w:p>
      <w:pPr>
        <w:tabs>
          <w:tab w:pos="8787" w:val="right" w:leader="dot"/>
        </w:tabs>
        <w:spacing w:after="60"/>
      </w:pPr>
      <w:hyperlink w:anchor="sec_167">
        <w:r>
          <w:t>模拟临床病例</w:t>
        </w:r>
      </w:hyperlink>
      <w:r>
        <w:tab/>
      </w:r>
      <w:fldSimple w:instr="PAGEREF sec_167 \h">
        <w:r>
          <w:t>20</w:t>
        </w:r>
      </w:fldSimple>
    </w:p>
    <w:p>
      <w:pPr>
        <w:tabs>
          <w:tab w:pos="8787" w:val="right" w:leader="dot"/>
        </w:tabs>
        <w:spacing w:after="60"/>
      </w:pPr>
      <w:hyperlink w:anchor="sec_169">
        <w:r>
          <w:t>事实边界与常见错误</w:t>
        </w:r>
      </w:hyperlink>
      <w:r>
        <w:tab/>
      </w:r>
      <w:fldSimple w:instr="PAGEREF sec_169 \h">
        <w:r>
          <w:t>20</w:t>
        </w:r>
      </w:fldSimple>
    </w:p>
    <w:p>
      <w:pPr>
        <w:tabs>
          <w:tab w:pos="8787" w:val="right" w:leader="dot"/>
        </w:tabs>
        <w:spacing w:after="60"/>
      </w:pPr>
      <w:hyperlink w:anchor="sec_172">
        <w:r>
          <w:t>模块联动与最终质控</w:t>
        </w:r>
      </w:hyperlink>
      <w:r>
        <w:tab/>
      </w:r>
      <w:fldSimple w:instr="PAGEREF sec_172 \h">
        <w:r>
          <w:t>20</w:t>
        </w:r>
      </w:fldSimple>
    </w:p>
    <w:p>
      <w:pPr>
        <w:tabs>
          <w:tab w:pos="8787" w:val="right" w:leader="dot"/>
        </w:tabs>
        <w:spacing w:after="60"/>
      </w:pPr>
      <w:hyperlink w:anchor="ref_section">
        <w:r>
          <w:t>参考指南及版本说明</w:t>
        </w:r>
      </w:hyperlink>
      <w:r>
        <w:tab/>
      </w:r>
      <w:fldSimple w:instr="PAGEREF ref_section \h">
        <w:r>
          <w:t>20</w:t>
        </w:r>
      </w:fldSimple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0" w:name="sec_0"/>
      <w:r>
        <w:t>三级医师决策职责与真实性</w:t>
      </w:r>
      <w:bookmarkEnd w:id="100"/>
    </w:p>
    <w:p>
      <w:r>
        <w:t>主治：核实当天意识瞳孔运动、检查、伤口引流、执行和近期观察；副主任：复核定位定性、影像演变、术式评价、恶化风险和方案优化；主任：复核复杂证据、重大手术或再手术策略、血管与肿瘤整合诊断、预后及长期方向。三者均需真实到场、姓名职称和意见。不能把同一正文仅换姓名职称，也不能生成上级实际未发表的结论。缺实际意见时仅在框外提供拟讨论要点。</w:t>
      </w:r>
    </w:p>
    <w:p>
      <w:r>
        <w:t>主治医师首次查房记录按病历规范在入院48小时内完成，后续查房频率遵病情和院内核心制度；记录必须来自实际查房，不以规范时限倒填医师到场。</w:t>
      </w:r>
    </w:p>
    <w:p>
      <w:pPr>
        <w:pStyle w:val="Heading1"/>
      </w:pPr>
      <w:bookmarkStart w:id="103" w:name="sec_3"/>
      <w:r>
        <w:t>正式医学文书代码框输出规范</w:t>
      </w:r>
      <w:bookmarkEnd w:id="103"/>
    </w:p>
    <w:p>
      <w:r>
        <w:t>所有正式医学文书正文使用Markdown text代码框。日期、时间及文书标题置于代码框外；某某主治医师查房记录、某某副主任医师查房记录和某某主任医师查房记录均为框外标题。框内只放实际医学正文，不重复题头日期时间或标题，不添加AI说明、医学文书正文标签。日常病程、术后动态病程和三级医师查房为连续完整的一整段，无空行或多余空格，不因单段要求删减必要内容。入院记录、首次病程、术前小结、手术记录、抢救记录和出院记录可保留必要栏目。正式输出不得留占位符、未选择的有无选项或默认正常查体。缺失或冲突事项单列于框外；关键冲突未解决，阻断可能误用的无标记净稿。禁止“结合昨天的查体情况”“根据前一天的病程”“根据用户上传的图片”“AI判断”。临床事件的发生时间、检查采样时间和实际手术时间属于正文事实，按需要保留；禁止的是重复题头时间，不能因此删去抢救时间轴。</w:t>
      </w:r>
    </w:p>
    <w:p>
      <w:pPr>
        <w:pStyle w:val="Heading1"/>
      </w:pPr>
      <w:bookmarkStart w:id="105" w:name="sec_5"/>
      <w:r>
        <w:t>20场景三级查房模板</w:t>
      </w:r>
      <w:bookmarkEnd w:id="105"/>
    </w:p>
    <w:p>
      <w:pPr>
        <w:pStyle w:val="Heading2"/>
      </w:pPr>
      <w:bookmarkStart w:id="106" w:name="sec_6"/>
      <w:r>
        <w:t>01 颅脑创伤首次查房</w:t>
      </w:r>
      <w:bookmarkEnd w:id="106"/>
    </w:p>
    <w:p>
      <w:r>
        <w:t>共同基线：记录当次意识瞳孔运动与评估限制，旧查体有日期不能装作今日；执行状态与医师计划分开。</w:t>
      </w:r>
    </w:p>
    <w:p>
      <w:r>
        <w:t>以下结构模板中的变量只允许用本例真实资料替换；本文件各模板均遵守此规则，正式输出前删除全部未填变量。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受伤机制和伤时、无镇静时神经基线及首次CT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原发血肿与继发损伤、占位和合并伤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是否需急诊手术、保守边界和救治优先级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15" w:name="sec_15"/>
      <w:r>
        <w:t>02 保守治疗期间查房</w:t>
      </w:r>
      <w:bookmarkEnd w:id="115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意识瞳孔运动、症状及已执行观察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连续影像可比性和迟发血肿风险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继续保守或升级手术的证据与复评触发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23" w:name="sec_23"/>
      <w:r>
        <w:t>03 脑出血患者查房</w:t>
      </w:r>
      <w:bookmarkEnd w:id="123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血压凝血抗栓暴露和神经变化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血肿部位体积脑室受累与病因调查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手术获益、时机、方式和全身风险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31" w:name="sec_31"/>
      <w:r>
        <w:t>04 急诊手术前查房</w:t>
      </w:r>
      <w:bookmarkEnd w:id="131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现场神经状态和气道循环准备缺项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病灶定位、手术目标及不可延迟因素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救命措施与功能风险、备选及实际授权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39" w:name="sec_39"/>
      <w:r>
        <w:t>05 开颅术后查房</w:t>
      </w:r>
      <w:bookmarkEnd w:id="139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实际术式骨瓣、当次神经查体和引流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术后出血缺血水肿与预期操作改变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神经损伤归因、再干预与恢复阶段策略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47" w:name="sec_47"/>
      <w:r>
        <w:t>06 去骨瓣减压术后查房</w:t>
      </w:r>
      <w:bookmarkEnd w:id="147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去骨瓣侧范围的实际来源、皮瓣和神经状态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减压效果、膨出或凹陷与CSF血流关系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再次干预、颅骨缺损保护及后续修补评估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55" w:name="sec_55"/>
      <w:r>
        <w:t>07 脑动脉瘤术前查房</w:t>
      </w:r>
      <w:bookmarkEnd w:id="155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症状出血时间和瘤体侧别血管段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责任瘤、瘤颈分支穿支与破裂风险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夹闭血管内或观察比较及专科分工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63" w:name="sec_63"/>
      <w:r>
        <w:t>08 动脉瘤手术或介入后查房</w:t>
      </w:r>
      <w:bookmarkEnd w:id="163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实际夹闭或血管内治疗类型、神经与穿刺切口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残余闭塞、穿支缺血、出血和CSF状态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DCI策略、抗栓适用性及长期血管随访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71" w:name="sec_71"/>
      <w:r>
        <w:t>09 神经肿瘤术前查房</w:t>
      </w:r>
      <w:bookmarkEnd w:id="171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神经功能KPS等真实基线和增强影像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功能区白质通路血管关系及性质待定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最大安全切除与活检、功能保护和综合治疗路径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79" w:name="sec_79"/>
      <w:r>
        <w:t>10 脑肿瘤术后查房</w:t>
      </w:r>
      <w:bookmarkEnd w:id="179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神经缺损发作切口与术后影像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切除描述和影像残留分开，病理回报阶段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病理整合、残留管理及放疗系统衔接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87" w:name="sec_87"/>
      <w:r>
        <w:t>11 垂体术后查房</w:t>
      </w:r>
      <w:bookmarkEnd w:id="187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视力眼动、鼻漏尿量时段血钠与激素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多尿与容量、渗透及激素药物鉴别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内分泌危象风险和MDT长期管理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195" w:name="sec_95"/>
      <w:r>
        <w:t>12 脊柱脊髓术后查房</w:t>
      </w:r>
      <w:bookmarkEnd w:id="195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分肌群运动感觉平面括约肌与切口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减压稳定性和髓内信号、压迫缺血鉴别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新损伤救治、再手术或康复路径及分工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03" w:name="sec_103"/>
      <w:r>
        <w:t>13 脑积水分流术后查房</w:t>
      </w:r>
      <w:bookmarkEnd w:id="203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意识步态头痛及系统在位和设置来源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脑室变化、过度或不足引流与感染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装置策略、是否调整修复及长期依赖风险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11" w:name="sec_111"/>
      <w:r>
        <w:t>14 神经功能恶化查房</w:t>
      </w:r>
      <w:bookmarkEnd w:id="211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发生时刻与基线差异、呼吸循环血糖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出血缺血发作脑积水和药物代谢鉴别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紧急救治及再手术策略与风险沟通事实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19" w:name="sec_119"/>
      <w:r>
        <w:t>15 脑脊液引流异常查房</w:t>
      </w:r>
      <w:bookmarkEnd w:id="219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device_id、开放夹闭流量时段和机械状态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堵塞脱位过度引流感染的证据区分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持续引流需要、撤管或改道及救治计划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27" w:name="sec_127"/>
      <w:r>
        <w:t>16 神经重症查房</w:t>
      </w:r>
      <w:bookmarkEnd w:id="227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神经呼吸循环、ICP有监测时和营养执行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颅内外病因和器官相互影响、趋势与可逆性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救治目标、侵入监测升级及多科协作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35" w:name="sec_135"/>
      <w:r>
        <w:t>17 病理回报后查房</w:t>
      </w:r>
      <w:bookmarkEnd w:id="235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标本归属、正式与分子待回项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病理与影像吻合及分型证据缺口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整合诊断和肿瘤综合治疗路线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43" w:name="sec_143"/>
      <w:r>
        <w:t>18 诊断修正查房</w:t>
      </w:r>
      <w:bookmarkEnd w:id="243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原诊断与新证据可获知时间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修正理由与不能解释的矛盾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最终分类和下一步验证，保留既往版本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51" w:name="sec_151"/>
      <w:r>
        <w:t>19 再次手术决策查房</w:t>
      </w:r>
      <w:bookmarkEnd w:id="251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新异常、第一次操作事实和当前装置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可逆病因、再次手术必要及替代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时机范围获益风险和独立手术事件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2"/>
      </w:pPr>
      <w:bookmarkStart w:id="259" w:name="sec_159"/>
      <w:r>
        <w:t>20 出院前查房</w:t>
      </w:r>
      <w:bookmarkEnd w:id="259"/>
    </w:p>
    <w:p>
      <w:r>
        <w:t>共同基线：记录当次意识瞳孔运动与评估限制，旧查体有日期不能装作今日；执行状态与医师计划分开。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当日症状及变化】。查体【当次意识瞳孔运动及相关功能】，检查【当时可用结果】。主治医师重点核对【当前意识运动语言吞咽活动照护和药物的真实事实】，分析【本日主要问题和执行效果的实际意见】，目前【已执行治疗和装置状态】，计划【近期监测与复评安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症状与神经变化】。查体【当次神经及全身状况】，检查【可比的真实结果】。副主任医师结合【未解决病理影像装置及康复需求的本例证据】，分析【定位定性和风险的实际意见】，提出【方案优化与替代措施的真实建议】，目前【执行进度及需追踪问题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当前功能及病情】。查体【当次实查与限制】，关键检查【现时可用证据】。主任医师复核【出院适宜性、去向、长期方案与待回结果责任的个体化证据】，意见为【重大决策、风险权衡和功能预后的真实内容】，后续【医师已决定的落实事项及再评估条件】，尚需【本例未决问题如有】。</w:t>
      </w:r>
    </w:p>
    <w:p>
      <w:pPr>
        <w:pStyle w:val="MedicalCode"/>
        <w:keepLines w:val="0"/>
      </w:pPr>
      <w:r>
        <w:t>```</w:t>
      </w:r>
    </w:p>
    <w:p>
      <w:pPr>
        <w:pStyle w:val="Heading1"/>
      </w:pPr>
      <w:bookmarkStart w:id="267" w:name="sec_167"/>
      <w:r>
        <w:t>模拟临床病例</w:t>
      </w:r>
      <w:bookmarkEnd w:id="267"/>
    </w:p>
    <w:p>
      <w:r>
        <w:t>SIM-ROUND-01：同一胶质瘤术后患者，主治核当日右手肌力及血钠和康复执行；副主任结合术后影像解释邻近运动区的残留和新缺损，优化复评；主任在正式病理与分子项目齐备后权衡后续MDT策略。只有提供相应实际意见才可归属于各级医师；单独提供职称不能制造该层级意见。</w:t>
      </w:r>
    </w:p>
    <w:p>
      <w:pPr>
        <w:pStyle w:val="Heading1"/>
      </w:pPr>
      <w:bookmarkStart w:id="269" w:name="sec_169"/>
      <w:r>
        <w:t>事实边界与常见错误</w:t>
      </w:r>
      <w:bookmarkEnd w:id="269"/>
    </w:p>
    <w:p>
      <w:r>
        <w:t>查体未提供时不填正常；拟行、医嘱、实际执行分开；术者记录、麻醉记录、护理装置记录和影像报告按各自事实领域核对。冲突不以信息较新或职称较高自动消除。模拟病例全部使用虚构编号，不可存入真实患者状态。</w:t>
      </w:r>
    </w:p>
    <w:p>
      <w:r>
        <w:t>本模块所有正式输出遵守01。结构模板中的【字段】只用于规则演示，不是患者事实。不得生成医师实际未说过的查房意见、实际未开展的讨论或知情沟通；可在框外提供待医师确认的分析建议。</w:t>
      </w:r>
    </w:p>
    <w:p>
      <w:pPr>
        <w:pStyle w:val="Heading1"/>
      </w:pPr>
      <w:bookmarkStart w:id="272" w:name="sec_172"/>
      <w:r>
        <w:t>模块联动与最终质控</w:t>
      </w:r>
      <w:bookmarkEnd w:id="272"/>
    </w:p>
    <w:p>
      <w:r>
        <w:t>由00进入，01约束，11绑定患者及住院事件后调用08；需要的通用或专病模块只按当前任务加载。输出前交10核对身份、解剖侧别、证据程度、手术与装置事件、时序、用药执行及代码框；严重冲突阻断净稿，紧急评估提示不受阻断。</w:t>
      </w:r>
    </w:p>
    <w:p>
      <w:pPr>
        <w:pStyle w:val="Heading1"/>
      </w:pPr>
      <w:bookmarkStart w:id="90000" w:name="ref_section"/>
      <w:r>
        <w:t>参考指南及版本说明</w:t>
      </w:r>
      <w:bookmarkEnd w:id="90000"/>
    </w:p>
    <w:p>
      <w:r>
        <w:t>核验日为2026年10月26日。下列来源按实际可访问层级列示；目录摘要核验不等于全文推荐核验。未核实的分值界限、给药剂量、引流设置和手术阈值不由本库自动补入；先使用本院经批准且已核对版本的规范。中国制度和国际指南分别标注适用人群，不能混合成统一自动医嘱。旧版保留用于解释历史记录，不称最新版。</w:t>
      </w:r>
    </w:p>
    <w:p>
      <w:r>
        <w:t>[R01] 病历书写基本规范 卫医政发〔2010〕11号。发布机构：原卫生部；年份/版本：2010；核验日期：2026年10月26日。适用范围：客观真实、栏目、记录时限及签名；执行前同时核对本院现行制度。核验层级：官方页面与可检索条文已核验；不是2002试行版。来源：https://www.nhc.gov.cn/wjw/c100175/201002/b1bec53d90f243e0861529723f00221a.shtml</w:t>
      </w:r>
    </w:p>
    <w:p>
      <w:r>
        <w:t>[R02] 医疗质量安全核心制度要点 国卫医发〔2018〕8号。发布机构：国家卫生健康委员会；年份/版本：2018；核验日期：2026年10月26日。适用范围：三级查房、会诊、术前讨论、抢救、手术安全、病历及信息管理。核验层级：官方解读已核验。来源：https://www.nhc.gov.cn/zwgk/jdjd/201804/5dfb30387c74412194c7f05b878d4f87.shtml</w:t>
      </w:r>
    </w:p>
    <w:p>
      <w:r>
        <w:t>[R03] 电子病历应用管理规范 试行 国卫办医发〔2017〕8号。发布机构：原国家卫生计生委 国家中医药管理局；年份/版本：2017；核验日期：2026年10月26日。适用范围：电子病历权限、审签、修改留痕和管理。核验层级：官网全文或原始指南页面已核验。来源：https://www.nhc.gov.cn/wjw/c100175/201702/90f3de8ae03d488cbddf509dc958f75b.shtml</w:t>
      </w:r>
    </w:p>
    <w:p>
      <w:r>
        <w:t>[N01] Central Nervous System Tumours WHO Classification Fifth Edition Volume 6。发布机构：WHO Classification of Tumours Editorial Board IARC；年份/版本：2021；核验日期：2026年10月26日。适用范围：CNS肿瘤组织学分子整合命名；官网勘误与在线更新需同查。核验层级：官方版本页面及勘误入口核验；未声称无后续更新。来源：https://publications.iarc.who.int/601</w:t>
      </w:r>
    </w:p>
    <w:p>
      <w:r>
        <w:t>[C04] 2023 Guideline for the Management of Patients With Aneurysmal Subarachnoid Hemorrhage。发布机构：AHA/ASA；年份/版本：2023；核验日期：2026年10月26日。适用范围：动脉瘤性SAH；DCI与血管痉挛区分、早期瘤体处理和多学科策略。核验层级：官网全文或原始指南页面已核验。来源：https://www.ahajournals.org/doi/pdf/10.1161/STR.0000000000000436</w:t>
      </w:r>
    </w:p>
    <w:p>
      <w:r>
        <w:t>[C06] 高血压性脑出血重症管理专家共识 2026版。发布机构：中国医师协会神经外科医师分会神经重症专家委员会 中国神经外科重症管理协作组；年份/版本：2026；核验日期：2026年10月26日。适用范围：高血压性脑出血急性期重症；DOI 10.3760/cma.j.cn112050-20251205-00464。核验层级：原期刊检索摘要及DOI已核验；直接全文页面返回未找到，不据此生成全文处方。来源：https://cs.medjournals.cn/article/en/doi/full/10.3760/cma.j.cn112050-20251205-00464</w:t>
      </w:r>
    </w:p>
    <w:p>
      <w:r>
        <w:t>[H01] 神经外科重症患者脑脊液外引流管理专家共识 2026版。发布机构：中华医学会神经外科学分会 中国神经外科重症管理协作组；年份/版本：2026；核验日期：2026年10月26日。适用范围：EVD和LD适用范围、留置管理与并发症；DOI 10.3760/cma.j.cn112137-20251114-02966。核验层级：原期刊目录摘要核验；全文参数未逐条核验，不沿用2018固定设置。来源：https://bi-dmp-cs.yiigle.com/cn/WEB-INF/toc/72615</w:t>
      </w:r>
    </w:p>
    <w:p>
      <w:r>
        <w:t>[S01] Hormone Replacement in Hypopituitarism in Adults。发布机构：Endocrine Society；年份/版本：2016；核验日期：2026年10月26日。适用范围：成人垂体功能减退、围术期激素评估，不作为儿童剂量依据。核验层级：官网全文或原始指南页面已核验。来源：https://www.endocrine.org/clinical-practice-guidelines/hormone-replacement-in-hypopituitarism</w:t>
      </w:r>
    </w:p>
    <w:p>
      <w:r>
        <w:t>[SP02] AO Spine Praxis Clinical Practice Guidelines Acute Spinal Cord Injury。发布机构：AO Spine Praxis Spinal Cord Institute；年份/版本：2024；核验日期：2026年10月26日。适用范围：成人急性创伤性脊髓损伤时机、血流动力学及术中脊髓损伤。核验层级：官网全文或原始指南页面已核验。来源：https://www.aofoundation.org/spine/clinical-library-and-tools/guidelines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神经外科AI病历书写系统 V1.0  08  |  </w:t>
    </w:r>
    <w:fldSimple w:instr="PAGE">
      <w:r>
        <w:t>1</w:t>
      </w:r>
    </w:fldSimple>
    <w:r>
      <w:t xml:space="preserve"> / </w:t>
    </w:r>
    <w:fldSimple w:instr="NUMPAGES">
      <w:r>
        <w:t>21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Arial" w:hAnsi="Arial" w:eastAsia="Songti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Arial" w:hAnsi="Arial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Hiragino Sans GB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Arial" w:hAnsi="Arial" w:eastAsia="Hiragino Sans GB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Code">
    <w:name w:val="Medical Code"/>
    <w:basedOn w:val="Normal"/>
    <w:pPr>
      <w:spacing w:after="40" w:line="276" w:lineRule="auto"/>
    </w:pPr>
    <w:rPr>
      <w:rFonts w:ascii="Consolas" w:hAnsi="Consolas" w:eastAsia="Songti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神经外科三级医师查房决策与层级表达模板库</dc:title>
  <dc:subject>神经外科医学文书规则库</dc:subject>
  <dc:creator>神经外科病历模板库</dc:creator>
  <cp:keywords>08 V1.0 2026-10-26</cp:keywords>
  <dc:description>模拟病例为虚构教学测试数据，不得写入真实病历。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