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神经外科AI病历书写系统</w:t>
      </w:r>
    </w:p>
    <w:p>
      <w:pPr>
        <w:pStyle w:val="Subtitle"/>
      </w:pPr>
      <w:r>
        <w:t>V1.0</w:t>
      </w:r>
    </w:p>
    <w:p>
      <w:pPr>
        <w:pStyle w:val="Title"/>
      </w:pPr>
      <w:r>
        <w:t>09 神经外科术后康复脑脊液引流管理及出院随访模板库</w:t>
      </w:r>
    </w:p>
    <w:p>
      <w:r>
        <w:t>模块编号 09    版本 V1.0</w:t>
      </w:r>
    </w:p>
    <w:p>
      <w:r>
        <w:t>所属层级 第二级 通用功能层</w:t>
      </w:r>
    </w:p>
    <w:p>
      <w:r>
        <w:t>创建及公开来源核验日期 2026年10月26日</w:t>
      </w:r>
    </w:p>
    <w:p>
      <w:r>
        <w:t>功能定位 神经康复装置状态和出院衔接</w:t>
      </w:r>
    </w:p>
    <w:p>
      <w:r>
        <w:t>适用范围 恢复期至长期随访的26类事项</w:t>
      </w:r>
    </w:p>
    <w:p>
      <w:r>
        <w:t>自动调用条件 康复、引流或植入管理、出院与随访任务</w:t>
      </w:r>
    </w:p>
    <w:p>
      <w:r>
        <w:t>供中国医院神经外科临床医师使用的文书辅助规则库。阅读本模块后，应能提取本例证据、选择诊疗阶段、保留事实边界并生成可审核的病历正文。</w:t>
      </w:r>
    </w:p>
    <w:p>
      <w:r>
        <w:t>本系统是医师审核前的文书辅助规则库，不能替代查体、手术或介入决策、医嘱开立、装置操作、知情沟通、签名或法定审核。每一患者事实绑定patient_id、encounter_id、event_id、发生时间、可获知时间、来源及核验状态；未知不等于正常，未提供不等于未发生。稳定背景可按来源继承，当日神经查体、生命体征、引流和用药执行须有对应时间的资料。医学知识和模板不能自动变成患者实际诊疗事实。</w:t>
      </w:r>
    </w:p>
    <w:p>
      <w:r>
        <w:br w:type="page"/>
      </w:r>
    </w:p>
    <w:p>
      <w:pPr>
        <w:pStyle w:val="Title"/>
      </w:pPr>
      <w:r>
        <w:t>目录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</w:p>
    <w:p>
      <w:pPr>
        <w:tabs>
          <w:tab w:pos="8787" w:val="right" w:leader="dot"/>
        </w:tabs>
        <w:spacing w:after="60"/>
      </w:pPr>
      <w:hyperlink w:anchor="sec_0">
        <w:r>
          <w:t>功能与装置管理总规则</w:t>
        </w:r>
      </w:hyperlink>
      <w:r>
        <w:tab/>
      </w:r>
      <w:fldSimple w:instr="PAGEREF sec_0 \h">
        <w:r>
          <w:t>4</w:t>
        </w:r>
      </w:fldSimple>
    </w:p>
    <w:p>
      <w:pPr>
        <w:tabs>
          <w:tab w:pos="8787" w:val="right" w:leader="dot"/>
        </w:tabs>
        <w:spacing w:after="60"/>
      </w:pPr>
      <w:hyperlink w:anchor="sec_2">
        <w:r>
          <w:t>26项管理和出院模板重点</w:t>
        </w:r>
      </w:hyperlink>
      <w:r>
        <w:tab/>
      </w:r>
      <w:fldSimple w:instr="PAGEREF sec_2 \h">
        <w:r>
          <w:t>4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3">
        <w:r>
          <w:t>01 术后神经功能恢复</w:t>
        </w:r>
      </w:hyperlink>
      <w:r>
        <w:tab/>
      </w:r>
      <w:fldSimple w:instr="PAGEREF sec_3 \h">
        <w:r>
          <w:t>4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6">
        <w:r>
          <w:t>02 意识恢复</w:t>
        </w:r>
      </w:hyperlink>
      <w:r>
        <w:tab/>
      </w:r>
      <w:fldSimple w:instr="PAGEREF sec_6 \h">
        <w:r>
          <w:t>4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9">
        <w:r>
          <w:t>03 肢体功能</w:t>
        </w:r>
      </w:hyperlink>
      <w:r>
        <w:tab/>
      </w:r>
      <w:fldSimple w:instr="PAGEREF sec_9 \h">
        <w:r>
          <w:t>4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12">
        <w:r>
          <w:t>04 言语功能</w:t>
        </w:r>
      </w:hyperlink>
      <w:r>
        <w:tab/>
      </w:r>
      <w:fldSimple w:instr="PAGEREF sec_12 \h">
        <w:r>
          <w:t>4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15">
        <w:r>
          <w:t>05 吞咽功能</w:t>
        </w:r>
      </w:hyperlink>
      <w:r>
        <w:tab/>
      </w:r>
      <w:fldSimple w:instr="PAGEREF sec_15 \h">
        <w:r>
          <w:t>4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18">
        <w:r>
          <w:t>06 认知变化</w:t>
        </w:r>
      </w:hyperlink>
      <w:r>
        <w:tab/>
      </w:r>
      <w:fldSimple w:instr="PAGEREF sec_18 \h">
        <w:r>
          <w:t>5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21">
        <w:r>
          <w:t>07 运动平衡</w:t>
        </w:r>
      </w:hyperlink>
      <w:r>
        <w:tab/>
      </w:r>
      <w:fldSimple w:instr="PAGEREF sec_21 \h">
        <w:r>
          <w:t>5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24">
        <w:r>
          <w:t>08 床上离床活动</w:t>
        </w:r>
      </w:hyperlink>
      <w:r>
        <w:tab/>
      </w:r>
      <w:fldSimple w:instr="PAGEREF sec_24 \h">
        <w:r>
          <w:t>5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27">
        <w:r>
          <w:t>09 卒中脑损伤康复</w:t>
        </w:r>
      </w:hyperlink>
      <w:r>
        <w:tab/>
      </w:r>
      <w:fldSimple w:instr="PAGEREF sec_27 \h">
        <w:r>
          <w:t>5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30">
        <w:r>
          <w:t>10 脊髓损伤康复</w:t>
        </w:r>
      </w:hyperlink>
      <w:r>
        <w:tab/>
      </w:r>
      <w:fldSimple w:instr="PAGEREF sec_30 \h">
        <w:r>
          <w:t>5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33">
        <w:r>
          <w:t>11 切口管理</w:t>
        </w:r>
      </w:hyperlink>
      <w:r>
        <w:tab/>
      </w:r>
      <w:fldSimple w:instr="PAGEREF sec_33 \h">
        <w:r>
          <w:t>5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36">
        <w:r>
          <w:t>12 颅骨缺损</w:t>
        </w:r>
      </w:hyperlink>
      <w:r>
        <w:tab/>
      </w:r>
      <w:fldSimple w:instr="PAGEREF sec_36 \h">
        <w:r>
          <w:t>6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39">
        <w:r>
          <w:t>13 颅骨修补后</w:t>
        </w:r>
      </w:hyperlink>
      <w:r>
        <w:tab/>
      </w:r>
      <w:fldSimple w:instr="PAGEREF sec_39 \h">
        <w:r>
          <w:t>6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42">
        <w:r>
          <w:t>14 脑室外引流</w:t>
        </w:r>
      </w:hyperlink>
      <w:r>
        <w:tab/>
      </w:r>
      <w:fldSimple w:instr="PAGEREF sec_42 \h">
        <w:r>
          <w:t>6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45">
        <w:r>
          <w:t>15 其他CSF引流</w:t>
        </w:r>
      </w:hyperlink>
      <w:r>
        <w:tab/>
      </w:r>
      <w:fldSimple w:instr="PAGEREF sec_45 \h">
        <w:r>
          <w:t>6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48">
        <w:r>
          <w:t>16 分流装置</w:t>
        </w:r>
      </w:hyperlink>
      <w:r>
        <w:tab/>
      </w:r>
      <w:fldSimple w:instr="PAGEREF sec_48 \h">
        <w:r>
          <w:t>6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51">
        <w:r>
          <w:t>17 术后影像复查</w:t>
        </w:r>
      </w:hyperlink>
      <w:r>
        <w:tab/>
      </w:r>
      <w:fldSimple w:instr="PAGEREF sec_51 \h">
        <w:r>
          <w:t>6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54">
        <w:r>
          <w:t>18 肿瘤病理后续</w:t>
        </w:r>
      </w:hyperlink>
      <w:r>
        <w:tab/>
      </w:r>
      <w:fldSimple w:instr="PAGEREF sec_54 \h">
        <w:r>
          <w:t>7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57">
        <w:r>
          <w:t>19 肿瘤复发监测</w:t>
        </w:r>
      </w:hyperlink>
      <w:r>
        <w:tab/>
      </w:r>
      <w:fldSimple w:instr="PAGEREF sec_57 \h">
        <w:r>
          <w:t>7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60">
        <w:r>
          <w:t>20 功能神外随访</w:t>
        </w:r>
      </w:hyperlink>
      <w:r>
        <w:tab/>
      </w:r>
      <w:fldSimple w:instr="PAGEREF sec_60 \h">
        <w:r>
          <w:t>7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63">
        <w:r>
          <w:t>21 神经介入随访</w:t>
        </w:r>
      </w:hyperlink>
      <w:r>
        <w:tab/>
      </w:r>
      <w:fldSimple w:instr="PAGEREF sec_63 \h">
        <w:r>
          <w:t>7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66">
        <w:r>
          <w:t>22 出院功能评估</w:t>
        </w:r>
      </w:hyperlink>
      <w:r>
        <w:tab/>
      </w:r>
      <w:fldSimple w:instr="PAGEREF sec_66 \h">
        <w:r>
          <w:t>7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69">
        <w:r>
          <w:t>23 出院用药</w:t>
        </w:r>
      </w:hyperlink>
      <w:r>
        <w:tab/>
      </w:r>
      <w:fldSimple w:instr="PAGEREF sec_69 \h">
        <w:r>
          <w:t>7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72">
        <w:r>
          <w:t>24 出院康复计划</w:t>
        </w:r>
      </w:hyperlink>
      <w:r>
        <w:tab/>
      </w:r>
      <w:fldSimple w:instr="PAGEREF sec_72 \h">
        <w:r>
          <w:t>8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75">
        <w:r>
          <w:t>25 异常症状预警</w:t>
        </w:r>
      </w:hyperlink>
      <w:r>
        <w:tab/>
      </w:r>
      <w:fldSimple w:instr="PAGEREF sec_75 \h">
        <w:r>
          <w:t>8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78">
        <w:r>
          <w:t>26 长期随访</w:t>
        </w:r>
      </w:hyperlink>
      <w:r>
        <w:tab/>
      </w:r>
      <w:fldSimple w:instr="PAGEREF sec_78 \h">
        <w:r>
          <w:t>8</w:t>
        </w:r>
      </w:fldSimple>
    </w:p>
    <w:p>
      <w:pPr>
        <w:tabs>
          <w:tab w:pos="8787" w:val="right" w:leader="dot"/>
        </w:tabs>
        <w:spacing w:after="60"/>
      </w:pPr>
      <w:hyperlink w:anchor="sec_81">
        <w:r>
          <w:t>装置最小数据集及变化时间轴</w:t>
        </w:r>
      </w:hyperlink>
      <w:r>
        <w:tab/>
      </w:r>
      <w:fldSimple w:instr="PAGEREF sec_81 \h">
        <w:r>
          <w:t>8</w:t>
        </w:r>
      </w:fldSimple>
    </w:p>
    <w:p>
      <w:pPr>
        <w:tabs>
          <w:tab w:pos="8787" w:val="right" w:leader="dot"/>
        </w:tabs>
        <w:spacing w:after="60"/>
      </w:pPr>
      <w:hyperlink w:anchor="sec_91">
        <w:r>
          <w:t>模拟临床病例</w:t>
        </w:r>
      </w:hyperlink>
      <w:r>
        <w:tab/>
      </w:r>
      <w:fldSimple w:instr="PAGEREF sec_91 \h">
        <w:r>
          <w:t>9</w:t>
        </w:r>
      </w:fldSimple>
    </w:p>
    <w:p>
      <w:pPr>
        <w:tabs>
          <w:tab w:pos="8787" w:val="right" w:leader="dot"/>
        </w:tabs>
        <w:spacing w:after="60"/>
      </w:pPr>
      <w:hyperlink w:anchor="sec_93">
        <w:r>
          <w:t>事实边界与常见错误</w:t>
        </w:r>
      </w:hyperlink>
      <w:r>
        <w:tab/>
      </w:r>
      <w:fldSimple w:instr="PAGEREF sec_93 \h">
        <w:r>
          <w:t>9</w:t>
        </w:r>
      </w:fldSimple>
    </w:p>
    <w:p>
      <w:pPr>
        <w:tabs>
          <w:tab w:pos="8787" w:val="right" w:leader="dot"/>
        </w:tabs>
        <w:spacing w:after="60"/>
      </w:pPr>
      <w:hyperlink w:anchor="sec_96">
        <w:r>
          <w:t>模块联动与最终质控</w:t>
        </w:r>
      </w:hyperlink>
      <w:r>
        <w:tab/>
      </w:r>
      <w:fldSimple w:instr="PAGEREF sec_96 \h">
        <w:r>
          <w:t>10</w:t>
        </w:r>
      </w:fldSimple>
    </w:p>
    <w:p>
      <w:pPr>
        <w:tabs>
          <w:tab w:pos="8787" w:val="right" w:leader="dot"/>
        </w:tabs>
        <w:spacing w:after="60"/>
      </w:pPr>
      <w:hyperlink w:anchor="ref_section">
        <w:r>
          <w:t>参考指南及版本说明</w:t>
        </w:r>
      </w:hyperlink>
      <w:r>
        <w:tab/>
      </w:r>
      <w:fldSimple w:instr="PAGEREF ref_section \h">
        <w:r>
          <w:t>10</w:t>
        </w:r>
      </w:fldSimple>
    </w:p>
    <w:p>
      <w:r>
        <w:fldChar w:fldCharType="end"/>
      </w:r>
    </w:p>
    <w:p>
      <w:r>
        <w:br w:type="page"/>
      </w:r>
    </w:p>
    <w:p>
      <w:pPr>
        <w:pStyle w:val="Heading1"/>
      </w:pPr>
      <w:bookmarkStart w:id="100" w:name="sec_0"/>
      <w:r>
        <w:t>功能与装置管理总规则</w:t>
      </w:r>
      <w:bookmarkEnd w:id="100"/>
    </w:p>
    <w:p>
      <w:r>
        <w:t>当前功能按实际表现、评估时间、来源和帮助程度记录。活动许可与患者实际能力分开；出院不等于痊愈。装置调整不由系统自动决定，医嘱参数不能代实际设置，设置不能代测量压力。EVD和LD为外引流，VP等为体内分流，ICP探头不等同有CSF引流功能。</w:t>
      </w:r>
    </w:p>
    <w:p>
      <w:pPr>
        <w:pStyle w:val="Heading1"/>
      </w:pPr>
      <w:bookmarkStart w:id="102" w:name="sec_2"/>
      <w:r>
        <w:t>26项管理和出院模板重点</w:t>
      </w:r>
      <w:bookmarkEnd w:id="102"/>
    </w:p>
    <w:p>
      <w:pPr>
        <w:pStyle w:val="Heading2"/>
      </w:pPr>
      <w:bookmarkStart w:id="103" w:name="sec_3"/>
      <w:r>
        <w:t>01 术后神经功能恢复</w:t>
      </w:r>
      <w:bookmarkEnd w:id="103"/>
    </w:p>
    <w:p>
      <w:r>
        <w:t>基线和本次评估时点、意识运动语言等分域变化，改善不等于痊愈。</w:t>
      </w:r>
    </w:p>
    <w:p>
      <w:r>
        <w:t>书写时提取本例真实事实、当前问题、已执行安排和下一次复评责任；未知参数省略并框外核实，不使用常用值补齐。</w:t>
      </w:r>
    </w:p>
    <w:p>
      <w:pPr>
        <w:pStyle w:val="Heading2"/>
      </w:pPr>
      <w:bookmarkStart w:id="106" w:name="sec_6"/>
      <w:r>
        <w:t>02 意识恢复</w:t>
      </w:r>
      <w:bookmarkEnd w:id="106"/>
    </w:p>
    <w:p>
      <w:r>
        <w:t>自发睁眼定向遵嘱与镇静影响，睡眠唤醒状态和评估条件可比。</w:t>
      </w:r>
    </w:p>
    <w:p>
      <w:r>
        <w:t>书写时提取本例真实事实、当前问题、已执行安排和下一次复评责任；未知参数省略并框外核实，不使用常用值补齐。</w:t>
      </w:r>
    </w:p>
    <w:p>
      <w:pPr>
        <w:pStyle w:val="Heading2"/>
      </w:pPr>
      <w:bookmarkStart w:id="109" w:name="sec_9"/>
      <w:r>
        <w:t>03 肢体功能</w:t>
      </w:r>
      <w:bookmarkEnd w:id="109"/>
    </w:p>
    <w:p>
      <w:r>
        <w:t>侧别肌群肌力自主活动和实际转移步行能力分别记。</w:t>
      </w:r>
    </w:p>
    <w:p>
      <w:r>
        <w:t>书写时提取本例真实事实、当前问题、已执行安排和下一次复评责任；未知参数省略并框外核实，不使用常用值补齐。</w:t>
      </w:r>
    </w:p>
    <w:p>
      <w:pPr>
        <w:pStyle w:val="Heading2"/>
      </w:pPr>
      <w:bookmarkStart w:id="112" w:name="sec_12"/>
      <w:r>
        <w:t>04 言语功能</w:t>
      </w:r>
      <w:bookmarkEnd w:id="112"/>
    </w:p>
    <w:p>
      <w:r>
        <w:t>理解表达命名复述构音和沟通替代方法，不能因插管无声诊失语。</w:t>
      </w:r>
    </w:p>
    <w:p>
      <w:r>
        <w:t>书写时提取本例真实事实、当前问题、已执行安排和下一次复评责任；未知参数省略并框外核实，不使用常用值补齐。</w:t>
      </w:r>
    </w:p>
    <w:p>
      <w:pPr>
        <w:pStyle w:val="Heading2"/>
      </w:pPr>
      <w:bookmarkStart w:id="115" w:name="sec_15"/>
      <w:r>
        <w:t>05 吞咽功能</w:t>
      </w:r>
      <w:bookmarkEnd w:id="115"/>
    </w:p>
    <w:p>
      <w:r>
        <w:t>筛查时间方法结果及专业评估、气道保护、食物质地和进食途径；未筛不默认可经口。</w:t>
      </w:r>
    </w:p>
    <w:p>
      <w:r>
        <w:t>书写时提取本例真实事实、当前问题、已执行安排和下一次复评责任；未知参数省略并框外核实，不使用常用值补齐。</w:t>
      </w:r>
    </w:p>
    <w:p>
      <w:pPr>
        <w:pStyle w:val="Heading2"/>
      </w:pPr>
      <w:bookmarkStart w:id="118" w:name="sec_18"/>
      <w:r>
        <w:t>06 认知变化</w:t>
      </w:r>
      <w:bookmarkEnd w:id="118"/>
    </w:p>
    <w:p>
      <w:r>
        <w:t>注意记忆执行与病前水平、谵妄药物和语言影响，适用工具变量齐备才给分。</w:t>
      </w:r>
    </w:p>
    <w:p>
      <w:r>
        <w:t>书写时提取本例真实事实、当前问题、已执行安排和下一次复评责任；未知参数省略并框外核实，不使用常用值补齐。</w:t>
      </w:r>
    </w:p>
    <w:p>
      <w:pPr>
        <w:pStyle w:val="Heading2"/>
      </w:pPr>
      <w:bookmarkStart w:id="121" w:name="sec_21"/>
      <w:r>
        <w:t>07 运动平衡</w:t>
      </w:r>
      <w:bookmarkEnd w:id="121"/>
    </w:p>
    <w:p>
      <w:r>
        <w:t>坐立平衡、共济步态辅具和协助程度，疲劳与跌倒风险。</w:t>
      </w:r>
    </w:p>
    <w:p>
      <w:r>
        <w:t>书写时提取本例真实事实、当前问题、已执行安排和下一次复评责任；未知参数省略并框外核实，不使用常用值补齐。</w:t>
      </w:r>
    </w:p>
    <w:p>
      <w:pPr>
        <w:pStyle w:val="Heading2"/>
      </w:pPr>
      <w:bookmarkStart w:id="124" w:name="sec_24"/>
      <w:r>
        <w:t>08 床上离床活动</w:t>
      </w:r>
      <w:bookmarkEnd w:id="124"/>
    </w:p>
    <w:p>
      <w:r>
        <w:t>意识循环稳定、颅压和装置及手术限制由医师确认，记录许可和实际能力。</w:t>
      </w:r>
    </w:p>
    <w:p>
      <w:r>
        <w:t>书写时提取本例真实事实、当前问题、已执行安排和下一次复评责任；未知参数省略并框外核实，不使用常用值补齐。</w:t>
      </w:r>
    </w:p>
    <w:p>
      <w:pPr>
        <w:pStyle w:val="Heading2"/>
      </w:pPr>
      <w:bookmarkStart w:id="127" w:name="sec_27"/>
      <w:r>
        <w:t>09 卒中脑损伤康复</w:t>
      </w:r>
      <w:bookmarkEnd w:id="127"/>
    </w:p>
    <w:p>
      <w:r>
        <w:t>早期任务训练与疲劳、认知情绪、肩痛痉挛及家属照护，风险个体化。</w:t>
      </w:r>
    </w:p>
    <w:p>
      <w:r>
        <w:t>书写时提取本例真实事实、当前问题、已执行安排和下一次复评责任；未知参数省略并框外核实，不使用常用值补齐。</w:t>
      </w:r>
    </w:p>
    <w:p>
      <w:pPr>
        <w:pStyle w:val="Heading2"/>
      </w:pPr>
      <w:bookmarkStart w:id="130" w:name="sec_30"/>
      <w:r>
        <w:t>10 脊髓损伤康复</w:t>
      </w:r>
      <w:bookmarkEnd w:id="130"/>
    </w:p>
    <w:p>
      <w:r>
        <w:t>运动感觉括约肌、皮肤压伤、体位低血压、自主反射异常及神经源膀胱肠道。</w:t>
      </w:r>
    </w:p>
    <w:p>
      <w:r>
        <w:t>书写时提取本例真实事实、当前问题、已执行安排和下一次复评责任；未知参数省略并框外核实，不使用常用值补齐。</w:t>
      </w:r>
    </w:p>
    <w:p>
      <w:pPr>
        <w:pStyle w:val="Heading2"/>
      </w:pPr>
      <w:bookmarkStart w:id="133" w:name="sec_33"/>
      <w:r>
        <w:t>11 切口管理</w:t>
      </w:r>
      <w:bookmarkEnd w:id="133"/>
    </w:p>
    <w:p>
      <w:r>
        <w:t>位置、敷料渗出红肿及缝线，拆线计划与实际拆线分开。</w:t>
      </w:r>
    </w:p>
    <w:p>
      <w:r>
        <w:t>书写时提取本例真实事实、当前问题、已执行安排和下一次复评责任；未知参数省略并框外核实，不使用常用值补齐。</w:t>
      </w:r>
    </w:p>
    <w:p>
      <w:pPr>
        <w:pStyle w:val="Heading2"/>
      </w:pPr>
      <w:bookmarkStart w:id="136" w:name="sec_36"/>
      <w:r>
        <w:t>12 颅骨缺损</w:t>
      </w:r>
      <w:bookmarkEnd w:id="136"/>
    </w:p>
    <w:p>
      <w:r>
        <w:t>侧别位置、皮瓣、保护和外出防撞，不能将未修补写已恢复颅骨完整。</w:t>
      </w:r>
    </w:p>
    <w:p>
      <w:r>
        <w:t>书写时提取本例真实事实、当前问题、已执行安排和下一次复评责任；未知参数省略并框外核实，不使用常用值补齐。</w:t>
      </w:r>
    </w:p>
    <w:p>
      <w:pPr>
        <w:pStyle w:val="Heading2"/>
      </w:pPr>
      <w:bookmarkStart w:id="139" w:name="sec_39"/>
      <w:r>
        <w:t>13 颅骨修补后</w:t>
      </w:r>
      <w:bookmarkEnd w:id="139"/>
    </w:p>
    <w:p>
      <w:r>
        <w:t>材料和侧别实际清单、切口积液感染及影像，活动按真实许可。</w:t>
      </w:r>
    </w:p>
    <w:p>
      <w:r>
        <w:t>书写时提取本例真实事实、当前问题、已执行安排和下一次复评责任；未知参数省略并框外核实，不使用常用值补齐。</w:t>
      </w:r>
    </w:p>
    <w:p>
      <w:pPr>
        <w:pStyle w:val="Heading2"/>
      </w:pPr>
      <w:bookmarkStart w:id="142" w:name="sec_42"/>
      <w:r>
        <w:t>14 脑室外引流</w:t>
      </w:r>
      <w:bookmarkEnd w:id="142"/>
    </w:p>
    <w:p>
      <w:r>
        <w:t>位置侧别、置入时间、参考水平与医嘱设置、开放夹闭、量时段性状、出入量和神经状态。</w:t>
      </w:r>
    </w:p>
    <w:p>
      <w:r>
        <w:t>书写时提取本例真实事实、当前问题、已执行安排和下一次复评责任；未知参数省略并框外核实，不使用常用值补齐。</w:t>
      </w:r>
    </w:p>
    <w:p>
      <w:pPr>
        <w:pStyle w:val="Heading2"/>
      </w:pPr>
      <w:bookmarkStart w:id="145" w:name="sec_45"/>
      <w:r>
        <w:t>15 其他CSF引流</w:t>
      </w:r>
      <w:bookmarkEnd w:id="145"/>
    </w:p>
    <w:p>
      <w:r>
        <w:t>腰大池与术区皮下引流不同系统、适应性及过度引流和压力梯度风险，不能互换高度。</w:t>
      </w:r>
    </w:p>
    <w:p>
      <w:r>
        <w:t>书写时提取本例真实事实、当前问题、已执行安排和下一次复评责任；未知参数省略并框外核实，不使用常用值补齐。</w:t>
      </w:r>
    </w:p>
    <w:p>
      <w:pPr>
        <w:pStyle w:val="Heading2"/>
      </w:pPr>
      <w:bookmarkStart w:id="148" w:name="sec_48"/>
      <w:r>
        <w:t>16 分流装置</w:t>
      </w:r>
      <w:bookmarkEnd w:id="148"/>
    </w:p>
    <w:p>
      <w:r>
        <w:t>VP VA腰腹等类型、可调/固定阀、防虹吸组件与实际设置来源；调整或MRI后核查按厂家院内要求。</w:t>
      </w:r>
    </w:p>
    <w:p>
      <w:r>
        <w:t>书写时提取本例真实事实、当前问题、已执行安排和下一次复评责任；未知参数省略并框外核实，不使用常用值补齐。</w:t>
      </w:r>
    </w:p>
    <w:p>
      <w:pPr>
        <w:pStyle w:val="Heading2"/>
      </w:pPr>
      <w:bookmarkStart w:id="151" w:name="sec_51"/>
      <w:r>
        <w:t>17 术后影像复查</w:t>
      </w:r>
      <w:bookmarkEnd w:id="151"/>
    </w:p>
    <w:p>
      <w:r>
        <w:t>复查计划与实际结果、病灶和装置位置可比，对异常及时复评。</w:t>
      </w:r>
    </w:p>
    <w:p>
      <w:r>
        <w:t>书写时提取本例真实事实、当前问题、已执行安排和下一次复评责任；未知参数省略并框外核实，不使用常用值补齐。</w:t>
      </w:r>
    </w:p>
    <w:p>
      <w:pPr>
        <w:pStyle w:val="Heading2"/>
      </w:pPr>
      <w:bookmarkStart w:id="154" w:name="sec_54"/>
      <w:r>
        <w:t>18 肿瘤病理后续</w:t>
      </w:r>
      <w:bookmarkEnd w:id="154"/>
    </w:p>
    <w:p>
      <w:r>
        <w:t>冰冻石蜡分子整合阶段、待回项及MDT责任，不能空填放化疗计划。</w:t>
      </w:r>
    </w:p>
    <w:p>
      <w:r>
        <w:t>书写时提取本例真实事实、当前问题、已执行安排和下一次复评责任；未知参数省略并框外核实，不使用常用值补齐。</w:t>
      </w:r>
    </w:p>
    <w:p>
      <w:pPr>
        <w:pStyle w:val="Heading2"/>
      </w:pPr>
      <w:bookmarkStart w:id="157" w:name="sec_57"/>
      <w:r>
        <w:t>19 肿瘤复发监测</w:t>
      </w:r>
      <w:bookmarkEnd w:id="157"/>
    </w:p>
    <w:p>
      <w:r>
        <w:t>残留基线、具体影像方案和症状，复发与治疗效应鉴别由专科判断。</w:t>
      </w:r>
    </w:p>
    <w:p>
      <w:r>
        <w:t>书写时提取本例真实事实、当前问题、已执行安排和下一次复评责任；未知参数省略并框外核实，不使用常用值补齐。</w:t>
      </w:r>
    </w:p>
    <w:p>
      <w:pPr>
        <w:pStyle w:val="Heading2"/>
      </w:pPr>
      <w:bookmarkStart w:id="160" w:name="sec_60"/>
      <w:r>
        <w:t>20 功能神外随访</w:t>
      </w:r>
      <w:bookmarkEnd w:id="160"/>
    </w:p>
    <w:p>
      <w:r>
        <w:t>发作频率结局、DBS开机程控和药物状态、硬件感染及生活能力。</w:t>
      </w:r>
    </w:p>
    <w:p>
      <w:r>
        <w:t>书写时提取本例真实事实、当前问题、已执行安排和下一次复评责任；未知参数省略并框外核实，不使用常用值补齐。</w:t>
      </w:r>
    </w:p>
    <w:p>
      <w:pPr>
        <w:pStyle w:val="Heading2"/>
      </w:pPr>
      <w:bookmarkStart w:id="163" w:name="sec_63"/>
      <w:r>
        <w:t>21 神经介入随访</w:t>
      </w:r>
      <w:bookmarkEnd w:id="163"/>
    </w:p>
    <w:p>
      <w:r>
        <w:t>实际治疗类型、植入器械、抗栓计划责任、影像闭塞或残留与穿刺部位。</w:t>
      </w:r>
    </w:p>
    <w:p>
      <w:r>
        <w:t>书写时提取本例真实事实、当前问题、已执行安排和下一次复评责任；未知参数省略并框外核实，不使用常用值补齐。</w:t>
      </w:r>
    </w:p>
    <w:p>
      <w:pPr>
        <w:pStyle w:val="Heading2"/>
      </w:pPr>
      <w:bookmarkStart w:id="166" w:name="sec_66"/>
      <w:r>
        <w:t>22 出院功能评估</w:t>
      </w:r>
      <w:bookmarkEnd w:id="166"/>
    </w:p>
    <w:p>
      <w:r>
        <w:t>意识瞳孔运动言语吞咽认知活动和照护者、量表变量与时间。</w:t>
      </w:r>
    </w:p>
    <w:p>
      <w:r>
        <w:t>书写时提取本例真实事实、当前问题、已执行安排和下一次复评责任；未知参数省略并框外核实，不使用常用值补齐。</w:t>
      </w:r>
    </w:p>
    <w:p>
      <w:pPr>
        <w:pStyle w:val="Heading2"/>
      </w:pPr>
      <w:bookmarkStart w:id="169" w:name="sec_69"/>
      <w:r>
        <w:t>23 出院用药</w:t>
      </w:r>
      <w:bookmarkEnd w:id="169"/>
    </w:p>
    <w:p>
      <w:r>
        <w:t>药名剂量途径频次疗程、继续暂停停用恢复时间及开方者，缺项不能出可执行处方。</w:t>
      </w:r>
    </w:p>
    <w:p>
      <w:r>
        <w:t>书写时提取本例真实事实、当前问题、已执行安排和下一次复评责任；未知参数省略并框外核实，不使用常用值补齐。</w:t>
      </w:r>
    </w:p>
    <w:p>
      <w:pPr>
        <w:pStyle w:val="Heading2"/>
      </w:pPr>
      <w:bookmarkStart w:id="172" w:name="sec_72"/>
      <w:r>
        <w:t>24 出院康复计划</w:t>
      </w:r>
      <w:bookmarkEnd w:id="172"/>
    </w:p>
    <w:p>
      <w:r>
        <w:t>目标频度支持和转诊由真实评估制定，避免按POD固定离床或保证恢复。</w:t>
      </w:r>
    </w:p>
    <w:p>
      <w:r>
        <w:t>书写时提取本例真实事实、当前问题、已执行安排和下一次复评责任；未知参数省略并框外核实，不使用常用值补齐。</w:t>
      </w:r>
    </w:p>
    <w:p>
      <w:pPr>
        <w:pStyle w:val="Heading2"/>
      </w:pPr>
      <w:bookmarkStart w:id="175" w:name="sec_75"/>
      <w:r>
        <w:t>25 异常症状预警</w:t>
      </w:r>
      <w:bookmarkEnd w:id="175"/>
    </w:p>
    <w:p>
      <w:r>
        <w:t>意识变差新偏瘫抽搐剧烈头痛反复呕吐、发热切口渗液鼻漏或装置异常及时就医，按本例告知。</w:t>
      </w:r>
    </w:p>
    <w:p>
      <w:r>
        <w:t>书写时提取本例真实事实、当前问题、已执行安排和下一次复评责任；未知参数省略并框外核实，不使用常用值补齐。</w:t>
      </w:r>
    </w:p>
    <w:p>
      <w:pPr>
        <w:pStyle w:val="Heading2"/>
      </w:pPr>
      <w:bookmarkStart w:id="178" w:name="sec_78"/>
      <w:r>
        <w:t>26 长期随访</w:t>
      </w:r>
      <w:bookmarkEnd w:id="178"/>
    </w:p>
    <w:p>
      <w:r>
        <w:t>病种手术病理装置、成长发育及药物不同路径，待回结果追踪人和联系方式用已核实资料。</w:t>
      </w:r>
    </w:p>
    <w:p>
      <w:r>
        <w:t>书写时提取本例真实事实、当前问题、已执行安排和下一次复评责任；未知参数省略并框外核实，不使用常用值补齐。</w:t>
      </w:r>
    </w:p>
    <w:p>
      <w:pPr>
        <w:pStyle w:val="Heading1"/>
      </w:pPr>
      <w:bookmarkStart w:id="181" w:name="sec_81"/>
      <w:r>
        <w:t>装置最小数据集及变化时间轴</w:t>
      </w:r>
      <w:bookmarkEnd w:id="181"/>
    </w:p>
    <w:p>
      <w:r>
        <w:t>device_id、类型、位置侧别、置入日期、在位状态、开放或夹闭、具体已确认设置及单位参考点、引流时段量性质、调整时刻及实际操作者、拔除时刻、并发症证据。夹闭试验需实际开始、观察神经与影像和结束结论，不能按拟夹闭医嘱推已成功。无拔除事实不得变为已拔。</w:t>
      </w:r>
    </w:p>
    <w:p>
      <w:r>
        <w:t>体位搬运和外出检查时的开闭状态与重新定标按已审核院内方案，由授权团队实施；不能从旧版共识抽出固定夹管规则应用全部患者。疑颅内压失控或新神经异常立即现场评估；系统不得建议患者或非授权者冲管、调阀或改变引流高度。</w:t>
      </w:r>
    </w:p>
    <w:p>
      <w:r>
        <w:t>以下结构模板中的变量只允许用本例真实资料替换；本文件各模板均遵守此规则，正式输出前删除全部未填变量。</w:t>
      </w:r>
    </w:p>
    <w:p>
      <w:pPr>
        <w:keepNext/>
      </w:pPr>
      <w:r>
        <w:t>【记录日期时间】 装置动态管理病程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患者目前【神经状态及时间】，在位【device_id对应类型位置侧别】于【置入日期】置入，当前【实际开放夹闭和已核实设置】，于【统计时段】引流【实际量和性状】。本次【实际调整或未调整状态】，调整后【有测量的反应】，后续【医师确认的监测与撤除评估计划】。</w:t>
      </w:r>
    </w:p>
    <w:p>
      <w:pPr>
        <w:pStyle w:val="MedicalCode"/>
        <w:keepLines w:val="0"/>
      </w:pPr>
      <w:r>
        <w:t>```</w:t>
      </w:r>
    </w:p>
    <w:p>
      <w:pPr>
        <w:keepNext/>
      </w:pPr>
      <w:r>
        <w:t>【记录日期时间】 出院前主任医师查房记录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今日随【真实姓名】主任医师查房，患者【当前症状及意识运动语言吞咽活动能力】。查体【当次实查】，检查【关键结果与待回项目】。主任医师分析【出院适宜性及未解决问题的实际意见】，当前【药物装置及照护状态】，后续【康复复查及待回结果追踪责任】。</w:t>
      </w:r>
    </w:p>
    <w:p>
      <w:pPr>
        <w:pStyle w:val="MedicalCode"/>
        <w:keepLines w:val="0"/>
      </w:pPr>
      <w:r>
        <w:t>```</w:t>
      </w:r>
    </w:p>
    <w:p>
      <w:pPr>
        <w:keepNext/>
      </w:pPr>
      <w:r>
        <w:t>【记录日期时间】 出院医嘱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用药：【已审核的名称剂量途径频次疗程及停复药责任】</w:t>
      </w:r>
    </w:p>
    <w:p>
      <w:pPr>
        <w:pStyle w:val="MedicalCode"/>
        <w:keepLines w:val="0"/>
      </w:pPr>
      <w:r>
        <w:t>功能康复及照护：【个体化真实安排】</w:t>
      </w:r>
    </w:p>
    <w:p>
      <w:pPr>
        <w:pStyle w:val="MedicalCode"/>
        <w:keepLines w:val="0"/>
      </w:pPr>
      <w:r>
        <w:t>切口及在位装置：【真实状态和专业管理安排】</w:t>
      </w:r>
    </w:p>
    <w:p>
      <w:pPr>
        <w:pStyle w:val="MedicalCode"/>
        <w:keepLines w:val="0"/>
      </w:pPr>
      <w:r>
        <w:t>复诊复查：【时间科室项目与待回结果负责人】</w:t>
      </w:r>
    </w:p>
    <w:p>
      <w:pPr>
        <w:pStyle w:val="MedicalCode"/>
        <w:keepLines w:val="0"/>
      </w:pPr>
      <w:r>
        <w:t>异常预警：【已确认的个体化就医事项】</w:t>
      </w:r>
    </w:p>
    <w:p>
      <w:pPr>
        <w:pStyle w:val="MedicalCode"/>
        <w:keepLines w:val="0"/>
      </w:pPr>
      <w:r>
        <w:t>```</w:t>
      </w:r>
    </w:p>
    <w:p>
      <w:pPr>
        <w:pStyle w:val="Heading1"/>
      </w:pPr>
      <w:bookmarkStart w:id="191" w:name="sec_91"/>
      <w:r>
        <w:t>模拟临床病例</w:t>
      </w:r>
      <w:bookmarkEnd w:id="191"/>
    </w:p>
    <w:p>
      <w:r>
        <w:t>SIM-REHAB-01：VP分流术后可扶行，阀为可调型但设置未知；医嘱拟调阀尚未执行。正确写需辅助步行、分流系统在位、参数待核，不能写阀压120mmH2O、不能按拟调整改状态。出院安排需明确装置随访和警示，不能写生活完全自理。</w:t>
      </w:r>
    </w:p>
    <w:p>
      <w:pPr>
        <w:pStyle w:val="Heading1"/>
      </w:pPr>
      <w:bookmarkStart w:id="193" w:name="sec_93"/>
      <w:r>
        <w:t>事实边界与常见错误</w:t>
      </w:r>
      <w:bookmarkEnd w:id="193"/>
    </w:p>
    <w:p>
      <w:r>
        <w:t>查体未提供时不填正常；拟行、医嘱、实际执行分开；术者记录、麻醉记录、护理装置记录和影像报告按各自事实领域核对。冲突不以信息较新或职称较高自动消除。模拟病例全部使用虚构编号，不可存入真实患者状态。</w:t>
      </w:r>
    </w:p>
    <w:p>
      <w:r>
        <w:t>本模块所有正式输出遵守01。结构模板中的【字段】只用于规则演示，不是患者事实。不得生成医师实际未说过的查房意见、实际未开展的讨论或知情沟通；可在框外提供待医师确认的分析建议。</w:t>
      </w:r>
    </w:p>
    <w:p>
      <w:pPr>
        <w:pStyle w:val="Heading1"/>
      </w:pPr>
      <w:bookmarkStart w:id="196" w:name="sec_96"/>
      <w:r>
        <w:t>模块联动与最终质控</w:t>
      </w:r>
      <w:bookmarkEnd w:id="196"/>
    </w:p>
    <w:p>
      <w:r>
        <w:t>由00进入，01约束，11绑定患者及住院事件后调用09；需要的通用或专病模块只按当前任务加载。输出前交10核对身份、解剖侧别、证据程度、手术与装置事件、时序、用药执行及代码框；严重冲突阻断净稿，紧急评估提示不受阻断。</w:t>
      </w:r>
    </w:p>
    <w:p>
      <w:pPr>
        <w:pStyle w:val="Heading1"/>
      </w:pPr>
      <w:bookmarkStart w:id="90000" w:name="ref_section"/>
      <w:r>
        <w:t>参考指南及版本说明</w:t>
      </w:r>
      <w:bookmarkEnd w:id="90000"/>
    </w:p>
    <w:p>
      <w:r>
        <w:t>核验日为2026年10月26日。下列来源按实际可访问层级列示；目录摘要核验不等于全文推荐核验。未核实的分值界限、给药剂量、引流设置和手术阈值不由本库自动补入；先使用本院经批准且已核对版本的规范。中国制度和国际指南分别标注适用人群，不能混合成统一自动医嘱。旧版保留用于解释历史记录，不称最新版。</w:t>
      </w:r>
    </w:p>
    <w:p>
      <w:r>
        <w:t>[R01] 病历书写基本规范 卫医政发〔2010〕11号。发布机构：原卫生部；年份/版本：2010；核验日期：2026年10月26日。适用范围：客观真实、栏目、记录时限及签名；执行前同时核对本院现行制度。核验层级：官方页面与可检索条文已核验；不是2002试行版。来源：https://www.nhc.gov.cn/wjw/c100175/201002/b1bec53d90f243e0861529723f00221a.shtml</w:t>
      </w:r>
    </w:p>
    <w:p>
      <w:r>
        <w:t>[R02] 医疗质量安全核心制度要点 国卫医发〔2018〕8号。发布机构：国家卫生健康委员会；年份/版本：2018；核验日期：2026年10月26日。适用范围：三级查房、会诊、术前讨论、抢救、手术安全、病历及信息管理。核验层级：官方解读已核验。来源：https://www.nhc.gov.cn/zwgk/jdjd/201804/5dfb30387c74412194c7f05b878d4f87.shtml</w:t>
      </w:r>
    </w:p>
    <w:p>
      <w:r>
        <w:t>[R03] 电子病历应用管理规范 试行 国卫办医发〔2017〕8号。发布机构：原国家卫生计生委 国家中医药管理局；年份/版本：2017；核验日期：2026年10月26日。适用范围：电子病历权限、审签、修改留痕和管理。核验层级：官网全文或原始指南页面已核验。来源：https://www.nhc.gov.cn/wjw/c100175/201702/90f3de8ae03d488cbddf509dc958f75b.shtml</w:t>
      </w:r>
    </w:p>
    <w:p>
      <w:r>
        <w:t>[H01] 神经外科重症患者脑脊液外引流管理专家共识 2026版。发布机构：中华医学会神经外科学分会 中国神经外科重症管理协作组；年份/版本：2026；核验日期：2026年10月26日。适用范围：EVD和LD适用范围、留置管理与并发症；DOI 10.3760/cma.j.cn112137-20251114-02966。核验层级：原期刊目录摘要核验；全文参数未逐条核验，不沿用2018固定设置。来源：https://bi-dmp-cs.yiigle.com/cn/WEB-INF/toc/72615</w:t>
      </w:r>
    </w:p>
    <w:p>
      <w:r>
        <w:t>[H02] 神经外科术后颅内感染诊治专家共识 2026版。发布机构：中华医学会神经外科学分会 中国神经外科重症管理协作组 北京医学会神经外科学分会；年份/版本：2026；核验日期：2026年10月26日。适用范围：术后颅内感染的证据和综合管理；DOI 10.3760/cma.j.cn112137-20260329-00837。核验层级：原期刊摘要和DOI核验；不据摘要编写抗菌药具体剂量。来源：https://uatwk.yiigle.com/cn/CN113904201206/toc/72938</w:t>
      </w:r>
    </w:p>
    <w:p>
      <w:r>
        <w:t>[H03] Clinical Practice Guidelines for Healthcare Associated Ventriculitis and Meningitis。发布机构：IDSA；年份/版本：2017；核验日期：2026年10月26日。适用范围：医源性脑室炎脑膜炎与装置感染；非社区获得性感染通用替代方案。核验层级：官网全文或原始指南页面已核验。来源：https://www.idsociety.org/practice-guideline/healthcare-associated-ventriculitis-and-meningitis/</w:t>
      </w:r>
    </w:p>
    <w:p>
      <w:r>
        <w:t>[P01] Pediatric Hydrocephalus Guidelines 2014 with 2020 Update。发布机构：Congress of Neurological Surgeons Pediatric Section；年份/版本：2014/2020；核验日期：2026年10月26日。适用范围：儿童脑积水的外科评估和分流ETV策略。核验层级：官网全文或原始指南页面已核验。来源：https://www.cns.org/guidelines/browse-guidelines-detail/pediatric-hydrocephalus-guideline-1</w:t>
      </w:r>
    </w:p>
    <w:p>
      <w:r>
        <w:t>[SP02] AO Spine Praxis Clinical Practice Guidelines Acute Spinal Cord Injury。发布机构：AO Spine Praxis Spinal Cord Institute；年份/版本：2024；核验日期：2026年10月26日。适用范围：成人急性创伤性脊髓损伤时机、血流动力学及术中脊髓损伤。核验层级：官网全文或原始指南页面已核验。来源：https://www.aofoundation.org/spine/clinical-library-and-tools/guidelines</w:t>
      </w:r>
    </w:p>
    <w:p>
      <w:r>
        <w:t>[T05] 颅骨缺损修补术专家共识 2025版。发布机构：世界华人神经外科协会颅脑创伤专业委员会 颅骨缺损修补术专家共识协作组；年份/版本：2025；核验日期：2026年10月26日。适用范围：颅骨缺损修补的评估与管理。核验层级：原期刊摘要与元数据已核验。来源：https://zhsjcswkdzzz.cma-cmc.com.cn/CN/10.3877/cma.j.issn.2095-9141.2025.04.002</w:t>
      </w:r>
    </w:p>
    <w:p>
      <w:r>
        <w:t>[N01] Central Nervous System Tumours WHO Classification Fifth Edition Volume 6。发布机构：WHO Classification of Tumours Editorial Board IARC；年份/版本：2021；核验日期：2026年10月26日。适用范围：CNS肿瘤组织学分子整合命名；官网勘误与在线更新需同查。核验层级：官方版本页面及勘误入口核验；未声称无后续更新。来源：https://publications.iarc.who.int/601</w:t>
      </w:r>
    </w:p>
    <w:p>
      <w:r>
        <w:t>[C04] 2023 Guideline for the Management of Patients With Aneurysmal Subarachnoid Hemorrhage。发布机构：AHA/ASA；年份/版本：2023；核验日期：2026年10月26日。适用范围：动脉瘤性SAH；DCI与血管痉挛区分、早期瘤体处理和多学科策略。核验层级：官网全文或原始指南页面已核验。来源：https://www.ahajournals.org/doi/pdf/10.1161/STR.0000000000000436</w:t>
      </w:r>
    </w:p>
    <w:p>
      <w:r>
        <w:t>[F02] CNS Guideline STN and GPi Deep Brain Stimulation for Parkinson Disease。发布机构：Congress of Neurological Surgeons；年份/版本：2018；核验日期：2026年10月26日。适用范围：帕金森病DBS靶点选择，非程控剂量表。核验层级：官网全文或原始指南页面已核验。来源：https://www.cns.org/Assets/04390da3-0a94-4dab-b91f-e2455dfd7ebc/636947410505700000/deep-brain-stimulation-parkinsons-disease-pdf</w:t>
      </w:r>
    </w:p>
    <w:p>
      <w:r>
        <w:t>[M02] 中国神经外科术后加速康复外科 ERAS 专家共识。发布机构：中国医师协会脑胶质瘤专业委员会；年份/版本：2020；核验日期：2026年10月26日。适用范围：神经外科择期围术期康复框架；非全部急诊儿童或病种的统一方案。核验层级：原刊全文和DOI 10.3760/cma.j.cn112050-20200716-00405核验，不称最新版。来源：https://seleguide.yiigle.com/uploads/guide_html/中国神经外科术后加速康复外科(ERAS)专家共识.html</w:t>
      </w:r>
    </w:p>
    <w:sectPr w:rsidR="00FC693F" w:rsidRPr="0006063C" w:rsidSect="00034616">
      <w:footerReference w:type="default" r:id="rId9"/>
      <w:pgSz w:w="11906" w:h="16838"/>
      <w:pgMar w:top="1304" w:right="1247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神经外科AI病历书写系统 V1.0  09  |  </w:t>
    </w:r>
    <w:fldSimple w:instr="PAGE">
      <w:r>
        <w:t>1</w:t>
      </w:r>
    </w:fldSimple>
    <w:r>
      <w:t xml:space="preserve"> / </w:t>
    </w:r>
    <w:fldSimple w:instr="NUMPAGES">
      <w:r>
        <w:t>12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88" w:lineRule="auto"/>
    </w:pPr>
    <w:rPr>
      <w:rFonts w:ascii="Arial" w:hAnsi="Arial" w:eastAsia="Songti SC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88" w:lineRule="auto"/>
      <w:outlineLvl w:val="0"/>
    </w:pPr>
    <w:rPr>
      <w:rFonts w:ascii="Arial" w:hAnsi="Arial" w:eastAsia="Hiragino Sans GB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88" w:lineRule="auto"/>
      <w:outlineLvl w:val="1"/>
    </w:pPr>
    <w:rPr>
      <w:rFonts w:ascii="Arial" w:hAnsi="Arial" w:eastAsia="Hiragino Sans GB"/>
      <w:b/>
      <w:bCs/>
      <w:i w:val="0"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88" w:lineRule="auto"/>
      <w:outlineLvl w:val="2"/>
    </w:pPr>
    <w:rPr>
      <w:rFonts w:ascii="Arial" w:hAnsi="Arial" w:eastAsia="Hiragino Sans GB"/>
      <w:b/>
      <w:bCs/>
      <w:i w:val="0"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88" w:lineRule="auto"/>
      <w:contextualSpacing/>
    </w:pPr>
    <w:rPr>
      <w:rFonts w:ascii="Arial" w:hAnsi="Arial" w:eastAsia="Hiragino Sans GB"/>
      <w:i w:val="0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88" w:lineRule="auto"/>
    </w:pPr>
    <w:rPr>
      <w:rFonts w:ascii="Arial" w:hAnsi="Arial" w:eastAsia="Hiragino Sans GB"/>
      <w:i w:val="0"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dicalCode">
    <w:name w:val="Medical Code"/>
    <w:basedOn w:val="Normal"/>
    <w:pPr>
      <w:spacing w:after="40" w:line="276" w:lineRule="auto"/>
    </w:pPr>
    <w:rPr>
      <w:rFonts w:ascii="Consolas" w:hAnsi="Consolas" w:eastAsia="Songti SC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神经外科术后康复脑脊液引流管理及出院随访模板库</dc:title>
  <dc:subject>神经外科医学文书规则库</dc:subject>
  <dc:creator>神经外科病历模板库</dc:creator>
  <cp:keywords>09 V1.0 2026-10-26</cp:keywords>
  <dc:description>模拟病例为虚构教学测试数据，不得写入真实病历。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